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bookmarkStart w:id="0" w:name="_GoBack"/>
      <w:bookmarkEnd w:id="0"/>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2</w:t>
      </w:r>
    </w:p>
    <w:p>
      <w:pPr>
        <w:spacing w:line="60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起草说明</w:t>
      </w:r>
    </w:p>
    <w:p>
      <w:pPr>
        <w:spacing w:line="600" w:lineRule="exact"/>
        <w:rPr>
          <w:rFonts w:ascii="Nimbus Roman" w:hAnsi="Nimbus Roman" w:cs="Nimbus Roman"/>
          <w:color w:val="000000" w:themeColor="text1"/>
          <w14:textFill>
            <w14:solidFill>
              <w14:schemeClr w14:val="tx1"/>
            </w14:solidFill>
          </w14:textFill>
        </w:rPr>
      </w:pPr>
    </w:p>
    <w:p>
      <w:pPr>
        <w:spacing w:line="600" w:lineRule="exact"/>
        <w:ind w:firstLine="640" w:firstLineChars="200"/>
        <w:rPr>
          <w:rFonts w:hint="eastAsia" w:ascii="Nimbus Roman" w:hAnsi="Nimbus Roman" w:eastAsia="仿宋_GB2312" w:cs="Nimbus Roman"/>
          <w:color w:val="000000" w:themeColor="text1"/>
          <w:lang w:eastAsia="zh-CN"/>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为落实《深化医疗服务价格改革试点方案》（医保发〔2021〕41号）和《国家医疗保障局办公室关于进一步做好医疗服务价格管理工作的通知》（医保办发〔2022〕16号）文件精神，</w:t>
      </w:r>
      <w:r>
        <w:rPr>
          <w:rFonts w:hint="eastAsia" w:ascii="Times New Roman" w:hAnsi="Times New Roman" w:eastAsia="仿宋_GB2312" w:cs="Nimbus Roman"/>
          <w:color w:val="000000" w:themeColor="text1"/>
          <w:sz w:val="32"/>
          <w:szCs w:val="32"/>
          <w14:textFill>
            <w14:solidFill>
              <w14:schemeClr w14:val="tx1"/>
            </w14:solidFill>
          </w14:textFill>
        </w:rPr>
        <w:t>规范医疗收费行为，抑制公立医院医疗费用不合理增长</w:t>
      </w:r>
      <w:r>
        <w:rPr>
          <w:rFonts w:hint="eastAsia" w:ascii="Times New Roman" w:hAnsi="Times New Roman" w:eastAsia="仿宋_GB2312" w:cs="Nimbus Roman"/>
          <w:color w:val="000000" w:themeColor="text1"/>
          <w:sz w:val="32"/>
          <w:szCs w:val="32"/>
          <w:lang w:eastAsia="zh-CN"/>
          <w14:textFill>
            <w14:solidFill>
              <w14:schemeClr w14:val="tx1"/>
            </w14:solidFill>
          </w14:textFill>
        </w:rPr>
        <w:t>，我们起草了</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《广东省医疗保障局关于公布“吸痰护理”等43项优化修订医疗服务价格项目的通知（</w:t>
      </w:r>
      <w:r>
        <w:rPr>
          <w:rFonts w:hint="eastAsia" w:ascii="Times New Roman" w:hAnsi="Times New Roman" w:eastAsia="仿宋_GB2312" w:cs="Nimbus Roman"/>
          <w:color w:val="000000" w:themeColor="text1"/>
          <w:sz w:val="32"/>
          <w:szCs w:val="32"/>
          <w:lang w:eastAsia="zh-CN"/>
          <w14:textFill>
            <w14:solidFill>
              <w14:schemeClr w14:val="tx1"/>
            </w14:solidFill>
          </w14:textFill>
        </w:rPr>
        <w:t>征求意见</w:t>
      </w:r>
      <w:r>
        <w:rPr>
          <w:rFonts w:hint="eastAsia" w:ascii="Times New Roman" w:hAnsi="Times New Roman" w:eastAsia="仿宋_GB2312" w:cs="Nimbus Roman"/>
          <w:color w:val="000000" w:themeColor="text1"/>
          <w:sz w:val="32"/>
          <w:szCs w:val="32"/>
          <w14:textFill>
            <w14:solidFill>
              <w14:schemeClr w14:val="tx1"/>
            </w14:solidFill>
          </w14:textFill>
        </w:rPr>
        <w:t>稿）》</w:t>
      </w:r>
      <w:r>
        <w:rPr>
          <w:rFonts w:hint="eastAsia" w:ascii="Times New Roman" w:hAnsi="Times New Roman" w:eastAsia="仿宋_GB2312" w:cs="Nimbus Roman"/>
          <w:color w:val="000000" w:themeColor="text1"/>
          <w:sz w:val="32"/>
          <w:szCs w:val="32"/>
          <w:lang w:eastAsia="zh-CN"/>
          <w14:textFill>
            <w14:solidFill>
              <w14:schemeClr w14:val="tx1"/>
            </w14:solidFill>
          </w14:textFill>
        </w:rPr>
        <w:t>，现将有关情况汇报如下：</w:t>
      </w: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方正黑体_GBK" w:cs="方正黑体_GBK"/>
          <w:b w:val="0"/>
          <w:bCs w:val="0"/>
          <w:kern w:val="0"/>
          <w:sz w:val="32"/>
          <w:lang w:eastAsia="zh-CN"/>
        </w:rPr>
        <w:t>一、政策</w:t>
      </w:r>
      <w:r>
        <w:rPr>
          <w:rFonts w:hint="eastAsia" w:ascii="Times New Roman" w:hAnsi="Times New Roman" w:eastAsia="方正黑体_GBK" w:cs="方正黑体_GBK"/>
          <w:b w:val="0"/>
          <w:bCs w:val="0"/>
          <w:kern w:val="0"/>
          <w:sz w:val="32"/>
        </w:rPr>
        <w:t>背景</w:t>
      </w:r>
    </w:p>
    <w:p>
      <w:pPr>
        <w:spacing w:line="600" w:lineRule="exact"/>
        <w:ind w:firstLine="640"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按照党中央和省委关于深入开展学习贯彻习近平新时代中国特色社会主义思想主题教育的意见和党中央关于在全党大兴调查研究的工作方案有关部署要求</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我局</w:t>
      </w:r>
      <w:r>
        <w:rPr>
          <w:rFonts w:hint="eastAsia" w:ascii="Times New Roman" w:hAnsi="Times New Roman" w:eastAsia="仿宋_GB2312" w:cs="Nimbus Roman"/>
          <w:color w:val="000000" w:themeColor="text1"/>
          <w:sz w:val="32"/>
          <w:szCs w:val="32"/>
          <w14:textFill>
            <w14:solidFill>
              <w14:schemeClr w14:val="tx1"/>
            </w14:solidFill>
          </w14:textFill>
        </w:rPr>
        <w:t>赴广州、深圳、珠海、</w:t>
      </w:r>
      <w:r>
        <w:rPr>
          <w:rFonts w:hint="eastAsia" w:ascii="Times New Roman" w:hAnsi="Times New Roman" w:eastAsia="仿宋_GB2312" w:cs="Nimbus Roman"/>
          <w:color w:val="000000" w:themeColor="text1"/>
          <w:sz w:val="32"/>
          <w:szCs w:val="32"/>
          <w:lang w:eastAsia="zh-CN"/>
          <w14:textFill>
            <w14:solidFill>
              <w14:schemeClr w14:val="tx1"/>
            </w14:solidFill>
          </w14:textFill>
        </w:rPr>
        <w:t>惠州、</w:t>
      </w:r>
      <w:r>
        <w:rPr>
          <w:rFonts w:hint="eastAsia" w:ascii="Times New Roman" w:hAnsi="Times New Roman" w:eastAsia="仿宋_GB2312" w:cs="Nimbus Roman"/>
          <w:color w:val="000000" w:themeColor="text1"/>
          <w:sz w:val="32"/>
          <w:szCs w:val="32"/>
          <w14:textFill>
            <w14:solidFill>
              <w14:schemeClr w14:val="tx1"/>
            </w14:solidFill>
          </w14:textFill>
        </w:rPr>
        <w:t>湛江等地</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基层一线开展调研，深入了解医疗机构医疗服务价格项目的医用耗材收费现状、存在的问题，以及地市探索“耗材小打包”收费模式的成效。结合调研成果和发现的问题，我局</w:t>
      </w:r>
      <w:r>
        <w:rPr>
          <w:rFonts w:hint="eastAsia" w:ascii="Times New Roman" w:hAnsi="Times New Roman" w:eastAsia="仿宋_GB2312" w:cs="Nimbus Roman"/>
          <w:color w:val="000000" w:themeColor="text1"/>
          <w:sz w:val="32"/>
          <w:szCs w:val="32"/>
          <w14:textFill>
            <w14:solidFill>
              <w14:schemeClr w14:val="tx1"/>
            </w14:solidFill>
          </w14:textFill>
        </w:rPr>
        <w:t>对“吸痰护理”等4</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Nimbus Roman"/>
          <w:color w:val="000000" w:themeColor="text1"/>
          <w:sz w:val="32"/>
          <w:szCs w:val="32"/>
          <w14:textFill>
            <w14:solidFill>
              <w14:schemeClr w14:val="tx1"/>
            </w14:solidFill>
          </w14:textFill>
        </w:rPr>
        <w:t>项医疗服务价格项目</w:t>
      </w:r>
      <w:r>
        <w:rPr>
          <w:rFonts w:hint="eastAsia" w:ascii="Times New Roman" w:hAnsi="Times New Roman" w:eastAsia="仿宋_GB2312" w:cs="Nimbus Roman"/>
          <w:color w:val="000000" w:themeColor="text1"/>
          <w:sz w:val="32"/>
          <w:szCs w:val="32"/>
          <w:lang w:eastAsia="zh-CN"/>
          <w14:textFill>
            <w14:solidFill>
              <w14:schemeClr w14:val="tx1"/>
            </w14:solidFill>
          </w14:textFill>
        </w:rPr>
        <w:t>进行优化修订，明确了项目内涵和减少除外内容，并广泛征求了多方意见</w:t>
      </w:r>
      <w:r>
        <w:rPr>
          <w:rFonts w:hint="eastAsia" w:eastAsia="仿宋_GB2312" w:cs="Nimbus Roman"/>
          <w:b w:val="0"/>
          <w:i w:val="0"/>
          <w:snapToGrid/>
          <w:color w:val="000000"/>
          <w:sz w:val="32"/>
          <w:szCs w:val="32"/>
          <w:lang w:val="en-US" w:eastAsia="zh-CN"/>
        </w:rPr>
        <w:t>。结合成本测算结果和平台采购数据得出打包耗材价格，起草了</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《广东省医疗保障局关于公布“吸痰护理”等43项优化修订医疗服务价格项目的通知（</w:t>
      </w:r>
      <w:r>
        <w:rPr>
          <w:rFonts w:hint="eastAsia" w:ascii="Times New Roman" w:hAnsi="Times New Roman" w:eastAsia="仿宋_GB2312" w:cs="Nimbus Roman"/>
          <w:color w:val="000000" w:themeColor="text1"/>
          <w:sz w:val="32"/>
          <w:szCs w:val="32"/>
          <w:lang w:eastAsia="zh-CN"/>
          <w14:textFill>
            <w14:solidFill>
              <w14:schemeClr w14:val="tx1"/>
            </w14:solidFill>
          </w14:textFill>
        </w:rPr>
        <w:t>征求意见</w:t>
      </w:r>
      <w:r>
        <w:rPr>
          <w:rFonts w:hint="eastAsia" w:ascii="Times New Roman" w:hAnsi="Times New Roman" w:eastAsia="仿宋_GB2312" w:cs="Nimbus Roman"/>
          <w:color w:val="000000" w:themeColor="text1"/>
          <w:sz w:val="32"/>
          <w:szCs w:val="32"/>
          <w14:textFill>
            <w14:solidFill>
              <w14:schemeClr w14:val="tx1"/>
            </w14:solidFill>
          </w14:textFill>
        </w:rPr>
        <w:t>稿）》</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二、政策依据</w:t>
      </w:r>
    </w:p>
    <w:p>
      <w:pPr>
        <w:spacing w:line="600" w:lineRule="exact"/>
        <w:ind w:firstLine="640" w:firstLineChars="200"/>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（一）《中共中央关于在全党深入开展学习贯彻习近平新时代中国特色社会主义思想主题教育的意见》（中发〔2023〕6号）</w:t>
      </w:r>
    </w:p>
    <w:p>
      <w:pPr>
        <w:spacing w:line="600" w:lineRule="exact"/>
        <w:ind w:firstLine="640" w:firstLineChars="200"/>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（二）《深化医疗服务价格改革试点方案》（医保发</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2021</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41号)</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（三）《国家医疗保障局办公室关于进一步做好医疗服务价格管理工作的通知》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医保办发</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2022</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spacing w:line="60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三、主要内容</w:t>
      </w:r>
    </w:p>
    <w:p>
      <w:pPr>
        <w:spacing w:line="600" w:lineRule="exact"/>
        <w:ind w:firstLine="643" w:firstLineChars="200"/>
        <w:rPr>
          <w:rFonts w:hint="eastAsia" w:ascii="Times New Roman" w:hAnsi="Times New Roman" w:eastAsia="仿宋_GB2312" w:cs="Nimbus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b/>
          <w:bCs/>
          <w:color w:val="000000" w:themeColor="text1"/>
          <w:sz w:val="32"/>
          <w:szCs w:val="32"/>
          <w:lang w:val="en-US" w:eastAsia="zh-CN"/>
          <w14:textFill>
            <w14:solidFill>
              <w14:schemeClr w14:val="tx1"/>
            </w14:solidFill>
          </w14:textFill>
        </w:rPr>
        <w:t>一、确定打包耗材价格</w:t>
      </w:r>
    </w:p>
    <w:p>
      <w:pPr>
        <w:spacing w:line="600" w:lineRule="exact"/>
        <w:ind w:firstLine="640" w:firstLineChars="200"/>
        <w:rPr>
          <w:rFonts w:hint="eastAsia" w:eastAsia="仿宋_GB2312" w:cs="Nimbus Roman"/>
          <w:b w:val="0"/>
          <w:i w:val="0"/>
          <w:snapToGrid/>
          <w:color w:val="000000"/>
          <w:sz w:val="32"/>
          <w:szCs w:val="32"/>
          <w:lang w:val="en-US" w:eastAsia="zh-CN"/>
        </w:rPr>
      </w:pPr>
      <w:r>
        <w:rPr>
          <w:rFonts w:hint="eastAsia" w:eastAsia="仿宋_GB2312" w:cs="Nimbus Roman"/>
          <w:b w:val="0"/>
          <w:i w:val="0"/>
          <w:snapToGrid/>
          <w:color w:val="000000"/>
          <w:sz w:val="32"/>
          <w:szCs w:val="32"/>
          <w:lang w:val="en-US" w:eastAsia="zh-CN"/>
        </w:rPr>
        <w:t>结合样本医疗机构调研数据和广东耗材采购平台（省平台、广州平台、深圳平台）采购数据，以及前期我省一次性使用静脉留置针等九类医用耗材集采中选结果，将修订后的项目中属于基本物耗的医用耗材费用并入所属医疗服务价格项目，实行打包收费、不再除外收费，入包收费的医用耗材不占用各地市年度调价总量。</w:t>
      </w:r>
    </w:p>
    <w:p>
      <w:pPr>
        <w:spacing w:line="600" w:lineRule="exact"/>
        <w:ind w:firstLine="643" w:firstLineChars="200"/>
        <w:rPr>
          <w:rFonts w:hint="default" w:eastAsia="仿宋_GB2312" w:cs="Nimbus Roman"/>
          <w:b/>
          <w:bCs/>
          <w:color w:val="000000" w:themeColor="text1"/>
          <w:sz w:val="32"/>
          <w:szCs w:val="32"/>
          <w:lang w:val="en-US" w:eastAsia="zh-CN"/>
          <w14:textFill>
            <w14:solidFill>
              <w14:schemeClr w14:val="tx1"/>
            </w14:solidFill>
          </w14:textFill>
        </w:rPr>
      </w:pPr>
      <w:r>
        <w:rPr>
          <w:rFonts w:hint="eastAsia" w:eastAsia="仿宋_GB2312" w:cs="Nimbus Roman"/>
          <w:b/>
          <w:bCs/>
          <w:color w:val="000000" w:themeColor="text1"/>
          <w:sz w:val="32"/>
          <w:szCs w:val="32"/>
          <w:lang w:val="en-US" w:eastAsia="zh-CN"/>
          <w14:textFill>
            <w14:solidFill>
              <w14:schemeClr w14:val="tx1"/>
            </w14:solidFill>
          </w14:textFill>
        </w:rPr>
        <w:t>二、加强项目收费综合管理</w:t>
      </w:r>
    </w:p>
    <w:p>
      <w:pPr>
        <w:numPr>
          <w:ilvl w:val="0"/>
          <w:numId w:val="0"/>
        </w:numPr>
        <w:spacing w:line="600" w:lineRule="exact"/>
        <w:ind w:firstLine="640" w:firstLineChars="200"/>
        <w:rPr>
          <w:rFonts w:hint="eastAsia" w:eastAsia="仿宋_GB2312" w:cs="Nimbus Roman"/>
          <w:color w:val="auto"/>
          <w:sz w:val="32"/>
          <w:szCs w:val="32"/>
          <w:lang w:val="en-US" w:eastAsia="zh-CN"/>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各地市将打包收费耗材价格加上原项目收费价格，形成最终的打包收费价格。</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价格确定后</w:t>
      </w:r>
      <w:r>
        <w:rPr>
          <w:rFonts w:hint="eastAsia" w:eastAsia="仿宋_GB2312" w:cs="Nimbus Roman"/>
          <w:color w:val="auto"/>
          <w:sz w:val="32"/>
          <w:szCs w:val="32"/>
          <w:lang w:val="en-US" w:eastAsia="zh-CN"/>
        </w:rPr>
        <w:t>做好价格信息公开工作，各公立医疗机构的具体收费以当地医保局公布的价格和执行日期为准。</w:t>
      </w:r>
    </w:p>
    <w:p>
      <w:pPr>
        <w:numPr>
          <w:ilvl w:val="0"/>
          <w:numId w:val="0"/>
        </w:numPr>
        <w:spacing w:line="600" w:lineRule="exact"/>
        <w:ind w:firstLine="640" w:firstLineChars="200"/>
        <w:rPr>
          <w:rFonts w:hint="eastAsia"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有条件的地市</w:t>
      </w:r>
      <w:r>
        <w:rPr>
          <w:rFonts w:hint="eastAsia" w:eastAsia="仿宋_GB2312" w:cs="Nimbus Roman"/>
          <w:color w:val="auto"/>
          <w:sz w:val="32"/>
          <w:szCs w:val="32"/>
          <w:lang w:val="en-US" w:eastAsia="zh-CN"/>
        </w:rPr>
        <w:t>可结合本地区实际，对本次修订项目中</w:t>
      </w:r>
      <w:r>
        <w:rPr>
          <w:rFonts w:hint="eastAsia" w:eastAsia="仿宋_GB2312" w:cs="Nimbus Roman"/>
          <w:color w:val="000000" w:themeColor="text1"/>
          <w:sz w:val="32"/>
          <w:szCs w:val="32"/>
          <w:lang w:eastAsia="zh-CN"/>
          <w14:textFill>
            <w14:solidFill>
              <w14:schemeClr w14:val="tx1"/>
            </w14:solidFill>
          </w14:textFill>
        </w:rPr>
        <w:t>长期未调整、价格成本矛盾突出的项目进行价格专项调整，上调部分总量纳入地市本年度调价总量。专项调整同时做好调价与医保政策的协同，既要充分体现技术劳务价值，又要有效平衡群众医药费用负担。</w:t>
      </w:r>
    </w:p>
    <w:p>
      <w:pPr>
        <w:numPr>
          <w:ilvl w:val="0"/>
          <w:numId w:val="0"/>
        </w:numPr>
        <w:spacing w:line="600" w:lineRule="exact"/>
        <w:ind w:firstLine="640" w:firstLineChars="200"/>
        <w:rPr>
          <w:rFonts w:hint="default" w:ascii="Times New Roman" w:hAnsi="Times New Roman" w:eastAsia="仿宋_GB2312" w:cs="Nimbus Roman"/>
          <w:color w:val="000000" w:themeColor="text1"/>
          <w:sz w:val="32"/>
          <w:szCs w:val="32"/>
          <w:lang w:val="en-US"/>
          <w14:textFill>
            <w14:solidFill>
              <w14:schemeClr w14:val="tx1"/>
            </w14:solidFill>
          </w14:textFill>
        </w:rPr>
      </w:pPr>
      <w:r>
        <w:rPr>
          <w:rFonts w:hint="eastAsia" w:eastAsia="仿宋_GB2312" w:cs="Nimbus Roman"/>
          <w:color w:val="auto"/>
          <w:sz w:val="32"/>
          <w:szCs w:val="32"/>
          <w:lang w:val="en-US" w:eastAsia="zh-CN"/>
        </w:rPr>
        <w:t>原实行打包收费的地市项目与本通知不一致的，在规定时间内按照本通知执行。</w:t>
      </w: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p>
      <w:pPr>
        <w:widowControl/>
        <w:jc w:val="left"/>
        <w:rPr>
          <w:rFonts w:ascii="Nimbus Roman" w:hAnsi="Nimbus Roman" w:eastAsia="黑体" w:cs="Nimbus Roman"/>
          <w:color w:val="000000" w:themeColor="text1"/>
          <w:sz w:val="32"/>
          <w:szCs w:val="32"/>
          <w14:textFill>
            <w14:solidFill>
              <w14:schemeClr w14:val="tx1"/>
            </w14:solidFill>
          </w14:textFill>
        </w:rPr>
      </w:pPr>
    </w:p>
    <w:sectPr>
      <w:footerReference r:id="rId3" w:type="default"/>
      <w:pgSz w:w="11906" w:h="16838"/>
      <w:pgMar w:top="2098" w:right="1587" w:bottom="2098"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kNTY3NzA5OTI1ODE2YTM1YWI1MDAxZGUxNTA0YWMifQ=="/>
  </w:docVars>
  <w:rsids>
    <w:rsidRoot w:val="000A57E0"/>
    <w:rsid w:val="00044C2E"/>
    <w:rsid w:val="000A57E0"/>
    <w:rsid w:val="000B4FC0"/>
    <w:rsid w:val="00104148"/>
    <w:rsid w:val="001C3A90"/>
    <w:rsid w:val="001D1B47"/>
    <w:rsid w:val="00265ED0"/>
    <w:rsid w:val="002A4D93"/>
    <w:rsid w:val="002E38DE"/>
    <w:rsid w:val="00304D75"/>
    <w:rsid w:val="003154D9"/>
    <w:rsid w:val="003400CB"/>
    <w:rsid w:val="00345F8C"/>
    <w:rsid w:val="003C2324"/>
    <w:rsid w:val="003F66D4"/>
    <w:rsid w:val="00485D05"/>
    <w:rsid w:val="00571227"/>
    <w:rsid w:val="005A315C"/>
    <w:rsid w:val="005A70BA"/>
    <w:rsid w:val="005B4144"/>
    <w:rsid w:val="005F4D4B"/>
    <w:rsid w:val="00605939"/>
    <w:rsid w:val="00747A52"/>
    <w:rsid w:val="007E0E25"/>
    <w:rsid w:val="00882DA8"/>
    <w:rsid w:val="0092462A"/>
    <w:rsid w:val="009344B6"/>
    <w:rsid w:val="009A111F"/>
    <w:rsid w:val="00A25578"/>
    <w:rsid w:val="00A83AE7"/>
    <w:rsid w:val="00AF6223"/>
    <w:rsid w:val="00B67C03"/>
    <w:rsid w:val="00BC6A02"/>
    <w:rsid w:val="00BF15A2"/>
    <w:rsid w:val="00CC627F"/>
    <w:rsid w:val="00CF1DBC"/>
    <w:rsid w:val="00DE15B4"/>
    <w:rsid w:val="00E26749"/>
    <w:rsid w:val="00E32E9D"/>
    <w:rsid w:val="00E441EB"/>
    <w:rsid w:val="00E61F9A"/>
    <w:rsid w:val="00E87D46"/>
    <w:rsid w:val="00ED4812"/>
    <w:rsid w:val="00F03505"/>
    <w:rsid w:val="00FF7521"/>
    <w:rsid w:val="01A8473E"/>
    <w:rsid w:val="05761F50"/>
    <w:rsid w:val="06DA3EF0"/>
    <w:rsid w:val="07835647"/>
    <w:rsid w:val="09A76ADE"/>
    <w:rsid w:val="0A1307D7"/>
    <w:rsid w:val="0A480097"/>
    <w:rsid w:val="0CAA56C2"/>
    <w:rsid w:val="11114515"/>
    <w:rsid w:val="11C71F12"/>
    <w:rsid w:val="11D3426A"/>
    <w:rsid w:val="16575D9C"/>
    <w:rsid w:val="17272996"/>
    <w:rsid w:val="178B4FD9"/>
    <w:rsid w:val="1BBB6E00"/>
    <w:rsid w:val="1BC32AA9"/>
    <w:rsid w:val="1C7F79C9"/>
    <w:rsid w:val="1CFF70D1"/>
    <w:rsid w:val="1FEF3AB2"/>
    <w:rsid w:val="21192AAA"/>
    <w:rsid w:val="217C0ED7"/>
    <w:rsid w:val="234D351C"/>
    <w:rsid w:val="277B360C"/>
    <w:rsid w:val="27AA1FE9"/>
    <w:rsid w:val="28925D46"/>
    <w:rsid w:val="297333E8"/>
    <w:rsid w:val="2B0319AF"/>
    <w:rsid w:val="2F6C7122"/>
    <w:rsid w:val="2FEAB13F"/>
    <w:rsid w:val="3232438D"/>
    <w:rsid w:val="35144DB9"/>
    <w:rsid w:val="36F905B5"/>
    <w:rsid w:val="37740704"/>
    <w:rsid w:val="37D452D1"/>
    <w:rsid w:val="39457F60"/>
    <w:rsid w:val="39470B2A"/>
    <w:rsid w:val="39783F40"/>
    <w:rsid w:val="3A324001"/>
    <w:rsid w:val="3C156351"/>
    <w:rsid w:val="3CDF1EEC"/>
    <w:rsid w:val="3CEF5B74"/>
    <w:rsid w:val="3CFBCE5F"/>
    <w:rsid w:val="3D3D4EC9"/>
    <w:rsid w:val="3DEB1E9C"/>
    <w:rsid w:val="3F6AA1AF"/>
    <w:rsid w:val="3F7D7D0A"/>
    <w:rsid w:val="3FE45593"/>
    <w:rsid w:val="40D573E7"/>
    <w:rsid w:val="4136427F"/>
    <w:rsid w:val="44003D81"/>
    <w:rsid w:val="47837708"/>
    <w:rsid w:val="4A85226D"/>
    <w:rsid w:val="4B1F0EF2"/>
    <w:rsid w:val="4FBC3FB0"/>
    <w:rsid w:val="4FEF7202"/>
    <w:rsid w:val="5087164D"/>
    <w:rsid w:val="50D63AF7"/>
    <w:rsid w:val="5324505D"/>
    <w:rsid w:val="537E38FB"/>
    <w:rsid w:val="54534E5F"/>
    <w:rsid w:val="57B9097D"/>
    <w:rsid w:val="5D347AD0"/>
    <w:rsid w:val="5D7EED5C"/>
    <w:rsid w:val="5F2E11C1"/>
    <w:rsid w:val="5F5FE0AE"/>
    <w:rsid w:val="5FF71D6F"/>
    <w:rsid w:val="5FFDA5FF"/>
    <w:rsid w:val="5FFF38CA"/>
    <w:rsid w:val="601D24C2"/>
    <w:rsid w:val="63B975BD"/>
    <w:rsid w:val="69F60AE9"/>
    <w:rsid w:val="6B77C008"/>
    <w:rsid w:val="6B9F7264"/>
    <w:rsid w:val="6C2B319D"/>
    <w:rsid w:val="6FEA9C4B"/>
    <w:rsid w:val="6FFB6A01"/>
    <w:rsid w:val="71FF22F7"/>
    <w:rsid w:val="72BFC6BF"/>
    <w:rsid w:val="730F9DF5"/>
    <w:rsid w:val="73EB867F"/>
    <w:rsid w:val="73EEBDE4"/>
    <w:rsid w:val="751FEDA5"/>
    <w:rsid w:val="757AFDA2"/>
    <w:rsid w:val="767F607C"/>
    <w:rsid w:val="76ADE600"/>
    <w:rsid w:val="777F42A5"/>
    <w:rsid w:val="77A60D1A"/>
    <w:rsid w:val="7902148D"/>
    <w:rsid w:val="7925600D"/>
    <w:rsid w:val="799E69A2"/>
    <w:rsid w:val="7A3E7DCF"/>
    <w:rsid w:val="7A965476"/>
    <w:rsid w:val="7ADFEE90"/>
    <w:rsid w:val="7AFE6A92"/>
    <w:rsid w:val="7BDBD5E5"/>
    <w:rsid w:val="7BEF86A6"/>
    <w:rsid w:val="7BFE6220"/>
    <w:rsid w:val="7CEB0AC5"/>
    <w:rsid w:val="7CEEFE46"/>
    <w:rsid w:val="7D5D0E2B"/>
    <w:rsid w:val="7DBFB8F3"/>
    <w:rsid w:val="7DDDB81B"/>
    <w:rsid w:val="7DE3003D"/>
    <w:rsid w:val="7DFE06D1"/>
    <w:rsid w:val="7EDB5E87"/>
    <w:rsid w:val="7F764F6E"/>
    <w:rsid w:val="7FA78DE0"/>
    <w:rsid w:val="7FB31518"/>
    <w:rsid w:val="7FDDA412"/>
    <w:rsid w:val="7FDDECBD"/>
    <w:rsid w:val="7FE2FF88"/>
    <w:rsid w:val="7FF3C1AA"/>
    <w:rsid w:val="7FF6E8D4"/>
    <w:rsid w:val="7FF9B036"/>
    <w:rsid w:val="7FFFBCA2"/>
    <w:rsid w:val="9A5FCFF7"/>
    <w:rsid w:val="ADCABF5A"/>
    <w:rsid w:val="AFEEE3F7"/>
    <w:rsid w:val="AFFE3A33"/>
    <w:rsid w:val="AFFFF256"/>
    <w:rsid w:val="B5D78B97"/>
    <w:rsid w:val="B6DFD900"/>
    <w:rsid w:val="BBFF542D"/>
    <w:rsid w:val="BEC3BF2A"/>
    <w:rsid w:val="BFDD2FB3"/>
    <w:rsid w:val="CBFFCF9E"/>
    <w:rsid w:val="CFBA4FA0"/>
    <w:rsid w:val="DFBF55E1"/>
    <w:rsid w:val="DFFE2B34"/>
    <w:rsid w:val="DFFF99AC"/>
    <w:rsid w:val="E2BBB8D5"/>
    <w:rsid w:val="E7F7297E"/>
    <w:rsid w:val="EAF9FCE4"/>
    <w:rsid w:val="EBB5E694"/>
    <w:rsid w:val="ED4CEE34"/>
    <w:rsid w:val="EF6D899F"/>
    <w:rsid w:val="EFBCD371"/>
    <w:rsid w:val="EFCA3EDC"/>
    <w:rsid w:val="EFEB4E66"/>
    <w:rsid w:val="F4ED102D"/>
    <w:rsid w:val="F564839F"/>
    <w:rsid w:val="F5E64A5F"/>
    <w:rsid w:val="F6CFAD7E"/>
    <w:rsid w:val="F7C7FBE8"/>
    <w:rsid w:val="F7CEBDEE"/>
    <w:rsid w:val="F7FF06B3"/>
    <w:rsid w:val="FB6DCD67"/>
    <w:rsid w:val="FBBF5D52"/>
    <w:rsid w:val="FBF66118"/>
    <w:rsid w:val="FBFF8FB6"/>
    <w:rsid w:val="FC977735"/>
    <w:rsid w:val="FDB7781B"/>
    <w:rsid w:val="FDBD3DED"/>
    <w:rsid w:val="FDC754E9"/>
    <w:rsid w:val="FDFEE767"/>
    <w:rsid w:val="FE7A7F47"/>
    <w:rsid w:val="FEF9F7EC"/>
    <w:rsid w:val="FF4C69C1"/>
    <w:rsid w:val="FF53EDCC"/>
    <w:rsid w:val="FF5B5D94"/>
    <w:rsid w:val="FF5E2AD2"/>
    <w:rsid w:val="FF7BB977"/>
    <w:rsid w:val="FF7FA84C"/>
    <w:rsid w:val="FFFB5113"/>
    <w:rsid w:val="FFFFF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Char Char Char Char1 Char Char Char"/>
    <w:basedOn w:val="1"/>
    <w:qFormat/>
    <w:uiPriority w:val="0"/>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Words>
  <Characters>1017</Characters>
  <Lines>8</Lines>
  <Paragraphs>2</Paragraphs>
  <TotalTime>2</TotalTime>
  <ScaleCrop>false</ScaleCrop>
  <LinksUpToDate>false</LinksUpToDate>
  <CharactersWithSpaces>1193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2022-11-21T17:22:00Z</dcterms:created>
  <dc:creator>He Bingjie</dc:creator>
  <cp:lastModifiedBy>李华润（驻场）</cp:lastModifiedBy>
  <cp:lastPrinted>2024-03-18T02:10:00Z</cp:lastPrinted>
  <dcterms:modified xsi:type="dcterms:W3CDTF">2024-05-16T08:43:26Z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3C8A4915B7C91DF5204DF2654A5837A4</vt:lpwstr>
  </property>
  <property fmtid="{D5CDD505-2E9C-101B-9397-08002B2CF9AE}" pid="4" name="close">
    <vt:lpwstr>true</vt:lpwstr>
  </property>
  <property fmtid="{D5CDD505-2E9C-101B-9397-08002B2CF9AE}" pid="5" name="userName">
    <vt:lpwstr>黄丽华</vt:lpwstr>
  </property>
  <property fmtid="{D5CDD505-2E9C-101B-9397-08002B2CF9AE}" pid="6" name="ribbonExt">
    <vt:lpwstr>{"WPSExtOfficeTab":{"OnGetEnabled":false,"OnGetVisible":false}}</vt:lpwstr>
  </property>
  <property fmtid="{D5CDD505-2E9C-101B-9397-08002B2CF9AE}" pid="7" name="showFlag">
    <vt:bool>true</vt:bool>
  </property>
</Properties>
</file>