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 xml:space="preserve">   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      </w:t>
      </w:r>
    </w:p>
    <w:p>
      <w:pPr>
        <w:spacing w:before="0" w:after="0" w:line="240" w:lineRule="auto"/>
        <w:ind w:left="0" w:right="0" w:firstLine="0"/>
        <w:jc w:val="center"/>
        <w:rPr>
          <w:rFonts w:ascii="楷体" w:hAnsi="楷体" w:eastAsia="楷体" w:cs="楷体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楷体" w:hAnsi="楷体" w:eastAsia="楷体" w:cs="楷体"/>
          <w:b/>
          <w:color w:val="auto"/>
          <w:spacing w:val="0"/>
          <w:position w:val="0"/>
          <w:sz w:val="44"/>
          <w:shd w:val="clear" w:fill="auto"/>
        </w:rPr>
        <w:t>新增医疗服务价格项目转归申请表</w:t>
      </w:r>
    </w:p>
    <w:tbl>
      <w:tblPr>
        <w:tblStyle w:val="3"/>
        <w:tblW w:w="1378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1024"/>
        <w:gridCol w:w="1200"/>
        <w:gridCol w:w="1245"/>
        <w:gridCol w:w="690"/>
        <w:gridCol w:w="855"/>
        <w:gridCol w:w="1080"/>
        <w:gridCol w:w="1080"/>
        <w:gridCol w:w="765"/>
        <w:gridCol w:w="1245"/>
        <w:gridCol w:w="915"/>
        <w:gridCol w:w="840"/>
        <w:gridCol w:w="810"/>
        <w:gridCol w:w="705"/>
        <w:gridCol w:w="810"/>
      </w:tblGrid>
      <w:tr>
        <w:tblPrEx>
          <w:tblLayout w:type="fixed"/>
        </w:tblPrEx>
        <w:trPr>
          <w:trHeight w:val="0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财务分类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412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编码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项目名称</w:t>
            </w:r>
            <w:r>
              <w:rPr>
                <w:u w:val="none"/>
              </w:rPr>
              <w:object>
                <v:shape id="_x0000_i1025" o:spt="75" type="#_x0000_t75" style="height:17.2pt;width:72.8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691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项目内涵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除外内容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计价        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说明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全市总开展例数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开展该项目的医疗机构数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价  格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申请类别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8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76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其中三级医院数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全市加权平均价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最高价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最低价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保留/不保留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基本/市场调节价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tabs>
          <w:tab w:val="left" w:pos="1000"/>
        </w:tabs>
        <w:spacing w:before="0" w:after="0" w:line="600" w:lineRule="auto"/>
        <w:ind w:left="0" w:right="0" w:firstLine="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注：1.申请“不保留”的项目，免填收费例数、开展医疗机构数和价格数据；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加权平均价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计算公式为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m:oMath>
        <m:acc>
          <m:accPr>
            <m:chr m:val="̅"/>
            <m:ctrlPr>
              <w:rPr>
                <w:rFonts w:hint="default" w:ascii="Cambria Math" w:hAnsi="Cambria Math" w:eastAsia="仿宋_GB2312" w:cs="Times New Roman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仿宋_GB2312" w:cs="Times New Roman"/>
                <w:sz w:val="32"/>
                <w:szCs w:val="32"/>
              </w:rPr>
              <m:t>P</m:t>
            </m:r>
            <m:ctrlPr>
              <w:rPr>
                <w:rFonts w:hint="default" w:ascii="Cambria Math" w:hAnsi="Cambria Math" w:eastAsia="仿宋_GB2312" w:cs="Times New Roman"/>
                <w:sz w:val="32"/>
                <w:szCs w:val="32"/>
              </w:rPr>
            </m:ctrlPr>
          </m:e>
        </m:acc>
        <m:r>
          <m:rPr>
            <m:sty m:val="p"/>
          </m:rPr>
          <w:rPr>
            <w:rFonts w:hint="default" w:ascii="Cambria Math" w:hAnsi="Cambria Math" w:eastAsia="仿宋_GB2312" w:cs="Times New Roman"/>
            <w:sz w:val="32"/>
            <w:szCs w:val="32"/>
          </w:rPr>
          <m:t>=</m:t>
        </m:r>
        <m:f>
          <m:fPr>
            <m:ctrlPr>
              <w:rPr>
                <w:rFonts w:hint="default" w:ascii="Cambria Math" w:hAnsi="Cambria Math" w:eastAsia="仿宋_GB2312" w:cs="Times New Roman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default" w:ascii="Cambria Math" w:hAnsi="Cambria Math" w:eastAsia="仿宋_GB2312" w:cs="Times New Roman"/>
                    <w:sz w:val="32"/>
                    <w:szCs w:val="32"/>
                  </w:rPr>
                </m:ctrlPr>
              </m:naryPr>
              <m:sub>
                <m:ctrlPr>
                  <w:rPr>
                    <w:rFonts w:hint="default" w:ascii="Cambria Math" w:hAnsi="Cambria Math" w:eastAsia="仿宋_GB2312" w:cs="Times New Roman"/>
                    <w:sz w:val="32"/>
                    <w:szCs w:val="32"/>
                  </w:rPr>
                </m:ctrlPr>
              </m:sub>
              <m:sup>
                <m:ctrlPr>
                  <w:rPr>
                    <w:rFonts w:hint="default" w:ascii="Cambria Math" w:hAnsi="Cambria Math" w:eastAsia="仿宋_GB2312" w:cs="Times New Roman"/>
                    <w:sz w:val="32"/>
                    <w:szCs w:val="32"/>
                  </w:rPr>
                </m:ctrlPr>
              </m:sup>
              <m:e>
                <m:sSub>
                  <m:sSubPr>
                    <m:ctrl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  <m:t>A</m:t>
                    </m:r>
                    <m:ctrl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  <m:t>X</m:t>
                    </m:r>
                    <m:ctrl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</m:ctrlPr>
                  </m:sub>
                </m:sSub>
                <m:sSub>
                  <m:sSubPr>
                    <m:ctrl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  <m:t>B</m:t>
                    </m:r>
                    <m:ctrl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  <m:t>x</m:t>
                    </m:r>
                    <m:ctrlPr>
                      <w:rPr>
                        <w:rFonts w:hint="default" w:ascii="Cambria Math" w:hAnsi="Cambria Math" w:eastAsia="仿宋_GB2312" w:cs="Times New Roman"/>
                        <w:sz w:val="32"/>
                        <w:szCs w:val="32"/>
                      </w:rPr>
                    </m:ctrlPr>
                  </m:sub>
                </m:sSub>
                <m:ctrlPr>
                  <w:rPr>
                    <w:rFonts w:hint="default" w:ascii="Cambria Math" w:hAnsi="Cambria Math" w:eastAsia="仿宋_GB2312" w:cs="Times New Roman"/>
                    <w:sz w:val="32"/>
                    <w:szCs w:val="32"/>
                  </w:rPr>
                </m:ctrlPr>
              </m:e>
            </m:nary>
            <m:ctrlPr>
              <w:rPr>
                <w:rFonts w:hint="default" w:ascii="Cambria Math" w:hAnsi="Cambria Math" w:eastAsia="仿宋_GB2312" w:cs="Times New Roman"/>
                <w:sz w:val="32"/>
                <w:szCs w:val="32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_GB2312" w:cs="Times New Roman"/>
                <w:sz w:val="32"/>
                <w:szCs w:val="32"/>
              </w:rPr>
              <m:t>N</m:t>
            </m:r>
            <m:ctrlPr>
              <w:rPr>
                <w:rFonts w:hint="default" w:ascii="Cambria Math" w:hAnsi="Cambria Math" w:eastAsia="仿宋_GB2312" w:cs="Times New Roman"/>
                <w:sz w:val="32"/>
                <w:szCs w:val="32"/>
              </w:rPr>
            </m:ctrlPr>
          </m:den>
        </m:f>
      </m:oMath>
    </w:p>
    <w:p>
      <w:pPr>
        <w:spacing w:before="0" w:after="0" w:line="240" w:lineRule="auto"/>
        <w:ind w:left="0" w:right="0" w:firstLine="9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m:oMath>
        <m:acc>
          <m:accPr>
            <m:chr m:val="̅"/>
            <m:ctrlPr>
              <w:rPr>
                <w:rFonts w:hint="default" w:ascii="Cambria Math" w:hAnsi="Cambria Math" w:eastAsia="仿宋_GB2312" w:cs="Times New Roman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仿宋_GB2312" w:cs="Times New Roman"/>
                <w:sz w:val="32"/>
                <w:szCs w:val="32"/>
              </w:rPr>
              <m:t>P</m:t>
            </m:r>
            <m:ctrlPr>
              <w:rPr>
                <w:rFonts w:hint="default" w:ascii="Cambria Math" w:hAnsi="Cambria Math" w:eastAsia="仿宋_GB2312" w:cs="Times New Roman"/>
                <w:sz w:val="32"/>
                <w:szCs w:val="32"/>
              </w:rPr>
            </m:ctrlPr>
          </m:e>
        </m:acc>
      </m:oMath>
      <w:r>
        <w:rPr>
          <w:rFonts w:hint="default" w:ascii="Times New Roman" w:hAnsi="Times New Roman" w:eastAsia="仿宋_GB2312" w:cs="Times New Roman"/>
          <w:sz w:val="32"/>
          <w:szCs w:val="32"/>
        </w:rPr>
        <w:t>：地市所有医疗机构某新增医疗服务项目平均价格</w:t>
      </w:r>
    </w:p>
    <w:p>
      <w:pPr>
        <w:spacing w:before="0" w:after="0" w:line="240" w:lineRule="auto"/>
        <w:ind w:left="0" w:right="0" w:firstLine="96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A：某医疗机构该项目定价</w:t>
      </w:r>
    </w:p>
    <w:p>
      <w:pPr>
        <w:spacing w:before="0" w:after="0" w:line="240" w:lineRule="auto"/>
        <w:ind w:left="0" w:right="0" w:firstLine="96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B：某医疗机构一年开展该项目例数</w:t>
      </w:r>
    </w:p>
    <w:p>
      <w:pPr>
        <w:spacing w:before="0" w:after="0" w:line="240" w:lineRule="auto"/>
        <w:ind w:left="0" w:right="0" w:firstLine="96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N：某市各医疗机构开展该项目例数总和</w:t>
      </w:r>
    </w:p>
    <w:p>
      <w:pPr>
        <w:spacing w:before="0" w:after="0" w:line="240" w:lineRule="auto"/>
        <w:ind w:left="0" w:right="0" w:firstLine="96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sectPr>
          <w:pgSz w:w="16838" w:h="11906" w:orient="landscape"/>
          <w:pgMar w:top="1800" w:right="1440" w:bottom="1800" w:left="1440" w:header="720" w:footer="720" w:gutter="0"/>
          <w:pgNumType w:fmt="numberInDash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X：某市医疗机构数（1,2,3…x,如医疗机构总数为5，x=5）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林婉雯</cp:lastModifiedBy>
  <dcterms:modified xsi:type="dcterms:W3CDTF">2019-09-29T09:29:48Z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