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keepNext w:val="0"/>
        <w:keepLines w:val="0"/>
        <w:pageBreakBefore w:val="0"/>
        <w:widowControl/>
        <w:suppressLineNumbers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before="0" w:beforeAutospacing="0" w:after="0" w:afterAutospacing="0" w:line="560" w:lineRule="exact"/>
        <w:ind w:left="0" w:right="0" w:firstLine="0"/>
        <w:jc w:val="center"/>
        <w:textAlignment w:val="auto"/>
        <w:rPr>
          <w:rFonts w:hint="default" w:ascii="Times New Roman" w:hAnsi="Times New Roman" w:eastAsia="方正小标宋简体" w:cs="Times New Roman"/>
          <w:b w:val="0"/>
          <w:bCs/>
          <w:color w:val="000000"/>
          <w:sz w:val="44"/>
          <w:szCs w:val="44"/>
          <w:u w:val="none"/>
        </w:rPr>
      </w:pPr>
      <w:bookmarkStart w:id="0" w:name="_GoBack"/>
      <w:r>
        <w:rPr>
          <w:rFonts w:hint="default" w:ascii="Times New Roman" w:hAnsi="Times New Roman" w:eastAsia="方正小标宋简体" w:cs="Times New Roman"/>
          <w:b w:val="0"/>
          <w:bCs/>
          <w:color w:val="000000"/>
          <w:sz w:val="44"/>
          <w:szCs w:val="44"/>
          <w:u w:val="none"/>
        </w:rPr>
        <w:t>关于《广东省定点医药机构相关人员医保</w:t>
      </w:r>
    </w:p>
    <w:p>
      <w:pPr>
        <w:pStyle w:val="14"/>
        <w:keepNext w:val="0"/>
        <w:keepLines w:val="0"/>
        <w:pageBreakBefore w:val="0"/>
        <w:widowControl/>
        <w:suppressLineNumbers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before="0" w:beforeAutospacing="0" w:after="0" w:afterAutospacing="0" w:line="560" w:lineRule="exact"/>
        <w:ind w:left="0" w:right="0" w:firstLine="0"/>
        <w:jc w:val="center"/>
        <w:textAlignment w:val="auto"/>
        <w:rPr>
          <w:rFonts w:hint="default" w:ascii="Times New Roman" w:hAnsi="Times New Roman" w:eastAsia="方正小标宋简体" w:cs="Times New Roman"/>
          <w:b w:val="0"/>
          <w:bCs/>
          <w:color w:val="000000"/>
          <w:sz w:val="44"/>
          <w:szCs w:val="44"/>
          <w:u w:val="none"/>
        </w:rPr>
      </w:pPr>
      <w:r>
        <w:rPr>
          <w:rFonts w:hint="default" w:ascii="Times New Roman" w:hAnsi="Times New Roman" w:eastAsia="方正小标宋简体" w:cs="Times New Roman"/>
          <w:b w:val="0"/>
          <w:bCs/>
          <w:color w:val="000000"/>
          <w:sz w:val="44"/>
          <w:szCs w:val="44"/>
          <w:u w:val="none"/>
        </w:rPr>
        <w:t>支付资格管理实施细则》的起草说明</w:t>
      </w:r>
      <w:bookmarkEnd w:id="0"/>
    </w:p>
    <w:p>
      <w:pPr>
        <w:pStyle w:val="9"/>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jc w:val="center"/>
        <w:textAlignment w:val="auto"/>
        <w:rPr>
          <w:rFonts w:hint="default" w:ascii="Times New Roman" w:hAnsi="Times New Roman" w:cs="Times New Roman"/>
          <w:sz w:val="32"/>
          <w:szCs w:val="32"/>
          <w:lang w:eastAsia="zh-CN"/>
        </w:rPr>
      </w:pPr>
    </w:p>
    <w:p>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color w:val="auto"/>
          <w:sz w:val="32"/>
          <w:szCs w:val="32"/>
          <w:highlight w:val="none"/>
          <w:u w:val="none"/>
          <w:lang w:val="en-US" w:eastAsia="zh-CN"/>
        </w:rPr>
        <w:t>为进一步加强定点医药机构相关人员医保支付资格管理，促进医疗保障基金规范合理使用，</w:t>
      </w:r>
      <w:r>
        <w:rPr>
          <w:rFonts w:hint="eastAsia" w:ascii="Times New Roman" w:hAnsi="Times New Roman" w:eastAsia="仿宋_GB2312" w:cs="Times New Roman"/>
          <w:color w:val="auto"/>
          <w:sz w:val="32"/>
          <w:szCs w:val="32"/>
          <w:highlight w:val="none"/>
          <w:u w:val="none"/>
          <w:lang w:val="en-US" w:eastAsia="zh-CN"/>
        </w:rPr>
        <w:t>根据</w:t>
      </w:r>
      <w:r>
        <w:rPr>
          <w:rFonts w:hint="default" w:ascii="Times New Roman" w:hAnsi="Times New Roman" w:eastAsia="仿宋_GB2312" w:cs="Times New Roman"/>
          <w:color w:val="auto"/>
          <w:sz w:val="32"/>
          <w:szCs w:val="32"/>
          <w:highlight w:val="none"/>
          <w:u w:val="none"/>
          <w:lang w:val="en-US" w:eastAsia="zh-CN"/>
        </w:rPr>
        <w:t>《国家医保局、国家卫生健康委、国家药监局关于建立定点医药机构相关人员医保支付资格管理制度的指导意见》（医保发〔2024〕23号），结合我省实际，</w:t>
      </w:r>
      <w:r>
        <w:rPr>
          <w:rFonts w:hint="eastAsia" w:ascii="Times New Roman" w:hAnsi="Times New Roman" w:eastAsia="仿宋_GB2312" w:cs="Times New Roman"/>
          <w:color w:val="auto"/>
          <w:sz w:val="32"/>
          <w:szCs w:val="32"/>
          <w:highlight w:val="none"/>
          <w:u w:val="none"/>
          <w:lang w:val="en-US" w:eastAsia="zh-CN"/>
        </w:rPr>
        <w:t>我</w:t>
      </w:r>
      <w:r>
        <w:rPr>
          <w:rFonts w:hint="eastAsia" w:eastAsia="仿宋_GB2312" w:cs="Times New Roman"/>
          <w:color w:val="auto"/>
          <w:sz w:val="32"/>
          <w:szCs w:val="32"/>
          <w:highlight w:val="none"/>
          <w:u w:val="none"/>
          <w:lang w:val="en-US" w:eastAsia="zh-CN"/>
        </w:rPr>
        <w:t>局</w:t>
      </w:r>
      <w:r>
        <w:rPr>
          <w:rFonts w:hint="eastAsia" w:ascii="Times New Roman" w:hAnsi="Times New Roman" w:eastAsia="仿宋_GB2312" w:cs="Times New Roman"/>
          <w:color w:val="auto"/>
          <w:sz w:val="32"/>
          <w:szCs w:val="32"/>
          <w:highlight w:val="none"/>
          <w:u w:val="none"/>
          <w:lang w:val="en-US" w:eastAsia="zh-CN"/>
        </w:rPr>
        <w:t>牵头起草了</w:t>
      </w:r>
      <w:r>
        <w:rPr>
          <w:rFonts w:hint="default" w:ascii="Times New Roman" w:hAnsi="Times New Roman" w:eastAsia="仿宋_GB2312" w:cs="Times New Roman"/>
          <w:color w:val="auto"/>
          <w:sz w:val="32"/>
          <w:szCs w:val="32"/>
          <w:highlight w:val="none"/>
          <w:u w:val="none"/>
          <w:lang w:val="zh-CN" w:eastAsia="zh-CN"/>
        </w:rPr>
        <w:t>《广东省定点医药机构相关人员医保</w:t>
      </w:r>
      <w:r>
        <w:rPr>
          <w:rFonts w:hint="default" w:ascii="Times New Roman" w:hAnsi="Times New Roman" w:eastAsia="仿宋_GB2312" w:cs="Times New Roman"/>
          <w:color w:val="auto"/>
          <w:sz w:val="32"/>
          <w:szCs w:val="32"/>
          <w:highlight w:val="none"/>
          <w:u w:val="none"/>
          <w:lang w:val="en-US" w:eastAsia="zh-CN"/>
        </w:rPr>
        <w:t>支付资格管理实施细则</w:t>
      </w:r>
      <w:r>
        <w:rPr>
          <w:rFonts w:hint="eastAsia" w:ascii="Times New Roman" w:hAnsi="Times New Roman" w:eastAsia="仿宋_GB2312" w:cs="Times New Roman"/>
          <w:color w:val="auto"/>
          <w:sz w:val="32"/>
          <w:szCs w:val="32"/>
          <w:highlight w:val="none"/>
          <w:u w:val="none"/>
          <w:lang w:val="en-US" w:eastAsia="zh-CN"/>
        </w:rPr>
        <w:t>（试行）</w:t>
      </w:r>
      <w:r>
        <w:rPr>
          <w:rFonts w:hint="default"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strike w:val="0"/>
          <w:color w:val="000000"/>
          <w:spacing w:val="0"/>
          <w:w w:val="100"/>
          <w:sz w:val="32"/>
          <w:szCs w:val="32"/>
          <w:u w:val="none" w:color="auto"/>
          <w:vertAlign w:val="baseline"/>
          <w:lang w:val="zh-CN"/>
        </w:rPr>
        <w:t>。</w:t>
      </w:r>
      <w:r>
        <w:rPr>
          <w:rFonts w:hint="default" w:ascii="Times New Roman" w:hAnsi="Times New Roman" w:eastAsia="仿宋_GB2312" w:cs="Times New Roman"/>
          <w:sz w:val="32"/>
          <w:szCs w:val="32"/>
        </w:rPr>
        <w:t>现将有关情况说明如下：</w:t>
      </w:r>
    </w:p>
    <w:p>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default" w:ascii="Times New Roman" w:hAnsi="Times New Roman" w:eastAsia="黑体" w:cs="Times New Roman"/>
          <w:b w:val="0"/>
          <w:bCs w:val="0"/>
          <w:sz w:val="32"/>
          <w:szCs w:val="32"/>
          <w:lang w:eastAsia="zh-CN"/>
        </w:rPr>
      </w:pPr>
      <w:r>
        <w:rPr>
          <w:rFonts w:hint="default" w:ascii="Times New Roman" w:hAnsi="Times New Roman" w:eastAsia="黑体" w:cs="Times New Roman"/>
          <w:b w:val="0"/>
          <w:bCs w:val="0"/>
          <w:sz w:val="32"/>
          <w:szCs w:val="32"/>
        </w:rPr>
        <w:t>一、</w:t>
      </w:r>
      <w:r>
        <w:rPr>
          <w:rFonts w:hint="default" w:ascii="Times New Roman" w:hAnsi="Times New Roman" w:eastAsia="黑体" w:cs="Times New Roman"/>
          <w:b w:val="0"/>
          <w:bCs w:val="0"/>
          <w:sz w:val="32"/>
          <w:szCs w:val="32"/>
          <w:lang w:eastAsia="zh-CN"/>
        </w:rPr>
        <w:t>起草</w:t>
      </w:r>
      <w:r>
        <w:rPr>
          <w:rFonts w:hint="default" w:ascii="Times New Roman" w:hAnsi="Times New Roman" w:eastAsia="黑体" w:cs="Times New Roman"/>
          <w:b w:val="0"/>
          <w:bCs w:val="0"/>
          <w:sz w:val="32"/>
          <w:szCs w:val="32"/>
        </w:rPr>
        <w:t>背景</w:t>
      </w:r>
    </w:p>
    <w:p>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t>党中央、国务院</w:t>
      </w:r>
      <w:r>
        <w:rPr>
          <w:rFonts w:hint="eastAsia" w:ascii="Times New Roman" w:hAnsi="Times New Roman" w:eastAsia="仿宋_GB2312" w:cs="Times New Roman"/>
          <w:color w:val="auto"/>
          <w:sz w:val="32"/>
          <w:szCs w:val="32"/>
          <w:highlight w:val="none"/>
          <w:u w:val="none"/>
          <w:lang w:val="en-US" w:eastAsia="zh-CN"/>
        </w:rPr>
        <w:t>一直</w:t>
      </w:r>
      <w:r>
        <w:rPr>
          <w:rFonts w:hint="default" w:ascii="Times New Roman" w:hAnsi="Times New Roman" w:eastAsia="仿宋_GB2312" w:cs="Times New Roman"/>
          <w:color w:val="auto"/>
          <w:sz w:val="32"/>
          <w:szCs w:val="32"/>
          <w:highlight w:val="none"/>
          <w:u w:val="none"/>
          <w:lang w:val="en-US" w:eastAsia="zh-CN"/>
        </w:rPr>
        <w:t>高度重视医保基金</w:t>
      </w:r>
      <w:r>
        <w:rPr>
          <w:rFonts w:hint="eastAsia" w:ascii="Times New Roman" w:hAnsi="Times New Roman" w:eastAsia="仿宋_GB2312" w:cs="Times New Roman"/>
          <w:color w:val="auto"/>
          <w:sz w:val="32"/>
          <w:szCs w:val="32"/>
          <w:highlight w:val="none"/>
          <w:u w:val="none"/>
          <w:lang w:val="en-US" w:eastAsia="zh-CN"/>
        </w:rPr>
        <w:t>监管工作。2020年4月，习近平总书记亲自主持召开中央深改委会议，审议通过了《</w:t>
      </w:r>
      <w:r>
        <w:rPr>
          <w:rFonts w:hint="default" w:ascii="Times New Roman" w:hAnsi="Times New Roman" w:eastAsia="仿宋_GB2312" w:cs="Times New Roman"/>
          <w:color w:val="auto"/>
          <w:sz w:val="32"/>
          <w:szCs w:val="32"/>
          <w:highlight w:val="none"/>
          <w:u w:val="none"/>
          <w:lang w:val="en-US" w:eastAsia="zh-CN"/>
        </w:rPr>
        <w:t>国务院办公厅关于推进医疗保障基金监管制度体系改革的指导意见</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国办发〔2020〕20号</w:t>
      </w:r>
      <w:r>
        <w:rPr>
          <w:rFonts w:hint="eastAsia" w:ascii="Times New Roman" w:hAnsi="Times New Roman" w:eastAsia="仿宋_GB2312" w:cs="Times New Roman"/>
          <w:color w:val="auto"/>
          <w:sz w:val="32"/>
          <w:szCs w:val="32"/>
          <w:highlight w:val="none"/>
          <w:u w:val="none"/>
          <w:lang w:val="en-US" w:eastAsia="zh-CN"/>
        </w:rPr>
        <w:t>），强化了医保基金监管的顶层设计，提出“完善医保对医疗服务行为的监控机制，将监管对象由医疗机构延伸至医务人员”，将建立医保支付资格管理制度明确为一项深化改革任务。2023年5月，国务院常务会议审议通过的《关于加强医疗保障基金使用常态化监管的实施意见》（</w:t>
      </w:r>
      <w:r>
        <w:rPr>
          <w:rFonts w:hint="default" w:ascii="Times New Roman" w:hAnsi="Times New Roman" w:eastAsia="仿宋_GB2312" w:cs="Times New Roman"/>
          <w:color w:val="auto"/>
          <w:sz w:val="32"/>
          <w:szCs w:val="32"/>
          <w:highlight w:val="none"/>
          <w:u w:val="none"/>
          <w:lang w:val="en-US" w:eastAsia="zh-CN"/>
        </w:rPr>
        <w:t>国办发〔2023〕17号</w:t>
      </w:r>
      <w:r>
        <w:rPr>
          <w:rFonts w:hint="eastAsia" w:ascii="Times New Roman" w:hAnsi="Times New Roman" w:eastAsia="仿宋_GB2312" w:cs="Times New Roman"/>
          <w:color w:val="auto"/>
          <w:sz w:val="32"/>
          <w:szCs w:val="32"/>
          <w:highlight w:val="none"/>
          <w:u w:val="none"/>
          <w:lang w:val="en-US" w:eastAsia="zh-CN"/>
        </w:rPr>
        <w:t>），明确提出“强化定点医药机构自我管理主体责任”“对相关责任人员，可按照医保协议中止医保支付资格”，明确对相关责任人员暂停医保支付资格的要求。《医疗保障基金使用监督管理条例》第十三条也明确赋予医保部门“中止相关责任人员涉及医疗保障基金使用的医药服务”的职权。</w:t>
      </w:r>
    </w:p>
    <w:p>
      <w:pPr>
        <w:pStyle w:val="53"/>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textAlignment w:val="auto"/>
        <w:rPr>
          <w:rFonts w:hint="eastAsia" w:cs="Times New Roman"/>
          <w:color w:val="auto"/>
          <w:sz w:val="32"/>
          <w:szCs w:val="32"/>
          <w:highlight w:val="none"/>
          <w:u w:val="none"/>
          <w:lang w:val="en-US" w:eastAsia="zh-CN"/>
        </w:rPr>
      </w:pPr>
      <w:r>
        <w:rPr>
          <w:rFonts w:hint="eastAsia" w:ascii="Times New Roman" w:hAnsi="Times New Roman" w:eastAsia="仿宋_GB2312" w:cs="Times New Roman"/>
          <w:sz w:val="32"/>
          <w:szCs w:val="32"/>
          <w:lang w:eastAsia="zh-CN"/>
        </w:rPr>
        <w:t>在此背景下，</w:t>
      </w:r>
      <w:r>
        <w:rPr>
          <w:rFonts w:hint="default" w:ascii="Times New Roman" w:hAnsi="Times New Roman" w:eastAsia="仿宋_GB2312" w:cs="Times New Roman"/>
          <w:sz w:val="32"/>
          <w:szCs w:val="32"/>
        </w:rPr>
        <w:t>国家医保局坚决贯彻落实党中央、国务院决策部署，积极加强与国家卫生健康委、国家药监局等部门的协作，把建立医保支付资格管理制度作为完善医保基金监管制度体系的重要一环，全力推进实施。</w:t>
      </w:r>
      <w:r>
        <w:rPr>
          <w:rFonts w:hint="eastAsia" w:cs="Times New Roman"/>
          <w:sz w:val="32"/>
          <w:szCs w:val="32"/>
          <w:lang w:val="en-US" w:eastAsia="zh-CN"/>
        </w:rPr>
        <w:t>2024年9月，联合印发</w:t>
      </w:r>
      <w:r>
        <w:rPr>
          <w:rFonts w:hint="default" w:ascii="Times New Roman" w:hAnsi="Times New Roman" w:eastAsia="仿宋_GB2312" w:cs="Times New Roman"/>
          <w:color w:val="auto"/>
          <w:sz w:val="32"/>
          <w:szCs w:val="32"/>
          <w:highlight w:val="none"/>
          <w:u w:val="none"/>
          <w:lang w:val="en-US" w:eastAsia="zh-CN"/>
        </w:rPr>
        <w:t>《国家医保局、国家卫生健康委、国家药监局关于建立定点医药机构相关人员医保支付资格管理制度的指导意见》（医保发〔2024〕23号</w:t>
      </w:r>
      <w:r>
        <w:rPr>
          <w:rFonts w:hint="eastAsia" w:cs="Times New Roman"/>
          <w:color w:val="auto"/>
          <w:sz w:val="32"/>
          <w:szCs w:val="32"/>
          <w:highlight w:val="none"/>
          <w:u w:val="none"/>
          <w:lang w:val="en-US" w:eastAsia="zh-CN"/>
        </w:rPr>
        <w:t>）</w:t>
      </w:r>
      <w:r>
        <w:rPr>
          <w:rFonts w:hint="default" w:ascii="Times New Roman" w:hAnsi="Times New Roman" w:cs="Times New Roman"/>
          <w:spacing w:val="0"/>
          <w:lang w:val="en-US" w:eastAsia="zh-CN"/>
        </w:rPr>
        <w:t>，明确了</w:t>
      </w:r>
      <w:r>
        <w:rPr>
          <w:rFonts w:hint="eastAsia" w:cs="Times New Roman"/>
          <w:spacing w:val="0"/>
          <w:lang w:val="en-US" w:eastAsia="zh-CN"/>
        </w:rPr>
        <w:t>医保支付资格的</w:t>
      </w:r>
      <w:r>
        <w:rPr>
          <w:rFonts w:hint="default" w:ascii="Times New Roman" w:hAnsi="Times New Roman" w:cs="Times New Roman"/>
          <w:spacing w:val="0"/>
          <w:lang w:val="en-US" w:eastAsia="zh-CN"/>
        </w:rPr>
        <w:t>管理</w:t>
      </w:r>
      <w:r>
        <w:rPr>
          <w:rFonts w:hint="eastAsia" w:cs="Times New Roman"/>
          <w:spacing w:val="0"/>
          <w:lang w:val="en-US" w:eastAsia="zh-CN"/>
        </w:rPr>
        <w:t>对象</w:t>
      </w:r>
      <w:r>
        <w:rPr>
          <w:rFonts w:hint="default" w:ascii="Times New Roman" w:hAnsi="Times New Roman" w:cs="Times New Roman"/>
          <w:spacing w:val="0"/>
          <w:lang w:val="en-US" w:eastAsia="zh-CN"/>
        </w:rPr>
        <w:t>、</w:t>
      </w:r>
      <w:r>
        <w:rPr>
          <w:rFonts w:hint="eastAsia" w:cs="Times New Roman"/>
          <w:spacing w:val="0"/>
          <w:lang w:val="en-US" w:eastAsia="zh-CN"/>
        </w:rPr>
        <w:t>管理责任、管理流程</w:t>
      </w:r>
      <w:r>
        <w:rPr>
          <w:rFonts w:hint="default" w:ascii="Times New Roman" w:hAnsi="Times New Roman" w:cs="Times New Roman"/>
          <w:spacing w:val="0"/>
          <w:lang w:val="en-US" w:eastAsia="zh-CN"/>
        </w:rPr>
        <w:t>、记分标准、惩戒措施及监督管理。</w:t>
      </w:r>
      <w:r>
        <w:rPr>
          <w:rFonts w:hint="eastAsia" w:cs="Times New Roman"/>
          <w:color w:val="auto"/>
          <w:sz w:val="32"/>
          <w:szCs w:val="32"/>
          <w:highlight w:val="none"/>
          <w:u w:val="none"/>
          <w:lang w:val="en-US" w:eastAsia="zh-CN"/>
        </w:rPr>
        <w:t>2024年12月，国家医保局办公室印发《医疗保障定点医药机构相关人员医保支付资格管理经办规程（试行）》（</w:t>
      </w:r>
      <w:r>
        <w:rPr>
          <w:rFonts w:hint="default" w:ascii="Times New Roman" w:hAnsi="Times New Roman" w:eastAsia="仿宋_GB2312" w:cs="Times New Roman"/>
          <w:color w:val="auto"/>
          <w:sz w:val="32"/>
          <w:szCs w:val="32"/>
          <w:highlight w:val="none"/>
          <w:u w:val="none"/>
          <w:lang w:val="en-US" w:eastAsia="zh-CN"/>
        </w:rPr>
        <w:t>医保</w:t>
      </w:r>
      <w:r>
        <w:rPr>
          <w:rFonts w:hint="eastAsia" w:cs="Times New Roman"/>
          <w:color w:val="auto"/>
          <w:sz w:val="32"/>
          <w:szCs w:val="32"/>
          <w:highlight w:val="none"/>
          <w:u w:val="none"/>
          <w:lang w:val="en-US" w:eastAsia="zh-CN"/>
        </w:rPr>
        <w:t>办</w:t>
      </w:r>
      <w:r>
        <w:rPr>
          <w:rFonts w:hint="default" w:ascii="Times New Roman" w:hAnsi="Times New Roman" w:eastAsia="仿宋_GB2312" w:cs="Times New Roman"/>
          <w:color w:val="auto"/>
          <w:sz w:val="32"/>
          <w:szCs w:val="32"/>
          <w:highlight w:val="none"/>
          <w:u w:val="none"/>
          <w:lang w:val="en-US" w:eastAsia="zh-CN"/>
        </w:rPr>
        <w:t>发〔2024〕</w:t>
      </w:r>
      <w:r>
        <w:rPr>
          <w:rFonts w:hint="eastAsia" w:cs="Times New Roman"/>
          <w:color w:val="auto"/>
          <w:sz w:val="32"/>
          <w:szCs w:val="32"/>
          <w:highlight w:val="none"/>
          <w:u w:val="none"/>
          <w:lang w:val="en-US" w:eastAsia="zh-CN"/>
        </w:rPr>
        <w:t>34</w:t>
      </w:r>
      <w:r>
        <w:rPr>
          <w:rFonts w:hint="default" w:ascii="Times New Roman" w:hAnsi="Times New Roman" w:eastAsia="仿宋_GB2312" w:cs="Times New Roman"/>
          <w:color w:val="auto"/>
          <w:sz w:val="32"/>
          <w:szCs w:val="32"/>
          <w:highlight w:val="none"/>
          <w:u w:val="none"/>
          <w:lang w:val="en-US" w:eastAsia="zh-CN"/>
        </w:rPr>
        <w:t>号</w:t>
      </w:r>
      <w:r>
        <w:rPr>
          <w:rFonts w:hint="eastAsia" w:cs="Times New Roman"/>
          <w:color w:val="auto"/>
          <w:sz w:val="32"/>
          <w:szCs w:val="32"/>
          <w:highlight w:val="none"/>
          <w:u w:val="none"/>
          <w:lang w:val="en-US" w:eastAsia="zh-CN"/>
        </w:rPr>
        <w:t>），明确了涉及医保支付资格的协议管理、登记备案、服务承诺、记分管理、异议申诉、结算清算、监督管理、信息化建设等经办管理流程。</w:t>
      </w:r>
    </w:p>
    <w:p>
      <w:pPr>
        <w:keepNext w:val="0"/>
        <w:keepLines w:val="0"/>
        <w:pageBreakBefore w:val="0"/>
        <w:widowControl w:val="0"/>
        <w:numPr>
          <w:ilvl w:val="0"/>
          <w:numId w:val="0"/>
        </w:numPr>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default" w:ascii="Times New Roman" w:hAnsi="Times New Roman" w:eastAsia="黑体" w:cs="Times New Roman"/>
          <w:color w:val="000000"/>
          <w:sz w:val="32"/>
          <w:szCs w:val="32"/>
          <w:lang w:val="en-US" w:eastAsia="zh-CN"/>
        </w:rPr>
      </w:pPr>
      <w:r>
        <w:rPr>
          <w:rFonts w:hint="default" w:ascii="Times New Roman" w:hAnsi="Times New Roman" w:eastAsia="黑体" w:cs="Times New Roman"/>
          <w:color w:val="000000"/>
          <w:sz w:val="32"/>
          <w:szCs w:val="32"/>
          <w:lang w:val="en-US" w:eastAsia="zh-CN"/>
        </w:rPr>
        <w:t>二、起草过程</w:t>
      </w:r>
    </w:p>
    <w:p>
      <w:pPr>
        <w:keepNext w:val="0"/>
        <w:keepLines w:val="0"/>
        <w:pageBreakBefore w:val="0"/>
        <w:widowControl w:val="0"/>
        <w:numPr>
          <w:ilvl w:val="0"/>
          <w:numId w:val="0"/>
        </w:numPr>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val="0"/>
        <w:snapToGrid/>
        <w:spacing w:line="560" w:lineRule="exact"/>
        <w:ind w:left="0" w:leftChars="0" w:right="0" w:rightChars="0" w:firstLine="640" w:firstLineChars="200"/>
        <w:textAlignment w:val="auto"/>
        <w:outlineLvl w:val="9"/>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color w:val="000000"/>
          <w:sz w:val="32"/>
          <w:szCs w:val="32"/>
          <w:lang w:val="en-US" w:eastAsia="zh-CN"/>
        </w:rPr>
        <w:t>根据国家相关政策精神，结合</w:t>
      </w:r>
      <w:r>
        <w:rPr>
          <w:rFonts w:hint="eastAsia" w:ascii="Times New Roman" w:hAnsi="Times New Roman" w:eastAsia="仿宋_GB2312" w:cs="Times New Roman"/>
          <w:color w:val="000000"/>
          <w:sz w:val="32"/>
          <w:szCs w:val="32"/>
          <w:lang w:val="en-US" w:eastAsia="zh-CN"/>
        </w:rPr>
        <w:t>我省</w:t>
      </w:r>
      <w:r>
        <w:rPr>
          <w:rFonts w:hint="default" w:ascii="Times New Roman" w:hAnsi="Times New Roman" w:eastAsia="仿宋_GB2312" w:cs="Times New Roman"/>
          <w:color w:val="000000"/>
          <w:sz w:val="32"/>
          <w:szCs w:val="32"/>
          <w:lang w:val="en-US" w:eastAsia="zh-CN"/>
        </w:rPr>
        <w:t>实际，</w:t>
      </w:r>
      <w:r>
        <w:rPr>
          <w:rFonts w:hint="eastAsia" w:ascii="Times New Roman" w:hAnsi="Times New Roman" w:eastAsia="仿宋_GB2312" w:cs="Times New Roman"/>
          <w:color w:val="000000"/>
          <w:sz w:val="32"/>
          <w:szCs w:val="32"/>
          <w:lang w:val="en-US" w:eastAsia="zh-CN"/>
        </w:rPr>
        <w:t>我</w:t>
      </w:r>
      <w:r>
        <w:rPr>
          <w:rFonts w:hint="eastAsia" w:eastAsia="仿宋_GB2312" w:cs="Times New Roman"/>
          <w:color w:val="000000"/>
          <w:sz w:val="32"/>
          <w:szCs w:val="32"/>
          <w:lang w:val="en-US" w:eastAsia="zh-CN"/>
        </w:rPr>
        <w:t>局</w:t>
      </w:r>
      <w:r>
        <w:rPr>
          <w:rFonts w:hint="eastAsia" w:ascii="Times New Roman" w:hAnsi="Times New Roman" w:eastAsia="仿宋_GB2312" w:cs="Times New Roman"/>
          <w:color w:val="000000"/>
          <w:sz w:val="32"/>
          <w:szCs w:val="32"/>
          <w:lang w:val="en-US" w:eastAsia="zh-CN"/>
        </w:rPr>
        <w:t>牵头起草了</w:t>
      </w:r>
      <w:r>
        <w:rPr>
          <w:rFonts w:hint="default" w:ascii="Times New Roman" w:hAnsi="Times New Roman" w:eastAsia="仿宋_GB2312" w:cs="Times New Roman"/>
          <w:color w:val="auto"/>
          <w:sz w:val="32"/>
          <w:szCs w:val="32"/>
          <w:highlight w:val="none"/>
          <w:u w:val="none"/>
          <w:lang w:val="zh-CN" w:eastAsia="zh-CN"/>
        </w:rPr>
        <w:t>《广东省定点医药机构相关人员医保</w:t>
      </w:r>
      <w:r>
        <w:rPr>
          <w:rFonts w:hint="default" w:ascii="Times New Roman" w:hAnsi="Times New Roman" w:eastAsia="仿宋_GB2312" w:cs="Times New Roman"/>
          <w:color w:val="auto"/>
          <w:sz w:val="32"/>
          <w:szCs w:val="32"/>
          <w:highlight w:val="none"/>
          <w:u w:val="none"/>
          <w:lang w:val="en-US" w:eastAsia="zh-CN"/>
        </w:rPr>
        <w:t>支付资格管理实施细则</w:t>
      </w:r>
      <w:r>
        <w:rPr>
          <w:rFonts w:hint="eastAsia" w:ascii="Times New Roman" w:hAnsi="Times New Roman" w:eastAsia="仿宋_GB2312" w:cs="Times New Roman"/>
          <w:color w:val="auto"/>
          <w:sz w:val="32"/>
          <w:szCs w:val="32"/>
          <w:highlight w:val="none"/>
          <w:u w:val="none"/>
          <w:lang w:val="en-US" w:eastAsia="zh-CN"/>
        </w:rPr>
        <w:t>（试行）</w:t>
      </w:r>
      <w:r>
        <w:rPr>
          <w:rFonts w:hint="default"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strike w:val="0"/>
          <w:color w:val="000000"/>
          <w:spacing w:val="0"/>
          <w:w w:val="100"/>
          <w:sz w:val="32"/>
          <w:szCs w:val="32"/>
          <w:u w:val="none" w:color="auto"/>
          <w:vertAlign w:val="baseline"/>
          <w:lang w:val="zh-CN"/>
        </w:rPr>
        <w:t>（以下简称《</w:t>
      </w:r>
      <w:r>
        <w:rPr>
          <w:rFonts w:hint="eastAsia" w:ascii="Times New Roman" w:hAnsi="Times New Roman" w:eastAsia="仿宋_GB2312" w:cs="Times New Roman"/>
          <w:strike w:val="0"/>
          <w:color w:val="000000"/>
          <w:spacing w:val="0"/>
          <w:w w:val="100"/>
          <w:sz w:val="32"/>
          <w:szCs w:val="32"/>
          <w:u w:val="none" w:color="auto"/>
          <w:vertAlign w:val="baseline"/>
          <w:lang w:val="zh-CN"/>
        </w:rPr>
        <w:t>实施</w:t>
      </w:r>
      <w:r>
        <w:rPr>
          <w:rFonts w:hint="default" w:ascii="Times New Roman" w:hAnsi="Times New Roman" w:eastAsia="仿宋_GB2312" w:cs="Times New Roman"/>
          <w:strike w:val="0"/>
          <w:color w:val="000000"/>
          <w:spacing w:val="0"/>
          <w:w w:val="100"/>
          <w:sz w:val="32"/>
          <w:szCs w:val="32"/>
          <w:u w:val="none" w:color="auto"/>
          <w:vertAlign w:val="baseline"/>
          <w:lang w:val="en"/>
        </w:rPr>
        <w:t>细则</w:t>
      </w:r>
      <w:r>
        <w:rPr>
          <w:rFonts w:hint="default" w:ascii="Times New Roman" w:hAnsi="Times New Roman" w:eastAsia="仿宋_GB2312" w:cs="Times New Roman"/>
          <w:strike w:val="0"/>
          <w:color w:val="000000"/>
          <w:spacing w:val="0"/>
          <w:w w:val="100"/>
          <w:sz w:val="32"/>
          <w:szCs w:val="32"/>
          <w:u w:val="none" w:color="auto"/>
          <w:vertAlign w:val="baseline"/>
          <w:lang w:val="zh-CN"/>
        </w:rPr>
        <w:t>》）</w:t>
      </w:r>
      <w:r>
        <w:rPr>
          <w:rFonts w:hint="default" w:ascii="Times New Roman" w:hAnsi="Times New Roman" w:eastAsia="仿宋_GB2312" w:cs="Times New Roman"/>
          <w:color w:val="000000"/>
          <w:sz w:val="32"/>
          <w:szCs w:val="32"/>
          <w:lang w:eastAsia="zh-CN"/>
        </w:rPr>
        <w:t>，书面征求了省</w:t>
      </w:r>
      <w:r>
        <w:rPr>
          <w:rFonts w:hint="eastAsia" w:ascii="Times New Roman" w:hAnsi="Times New Roman" w:eastAsia="仿宋_GB2312" w:cs="Times New Roman"/>
          <w:color w:val="000000"/>
          <w:sz w:val="32"/>
          <w:szCs w:val="32"/>
          <w:lang w:eastAsia="zh-CN"/>
        </w:rPr>
        <w:t>卫生健康委、药品监管</w:t>
      </w:r>
      <w:r>
        <w:rPr>
          <w:rFonts w:hint="default" w:ascii="Times New Roman" w:hAnsi="Times New Roman" w:eastAsia="仿宋_GB2312" w:cs="Times New Roman"/>
          <w:color w:val="000000"/>
          <w:sz w:val="32"/>
          <w:szCs w:val="32"/>
          <w:lang w:eastAsia="zh-CN"/>
        </w:rPr>
        <w:t>部门</w:t>
      </w:r>
      <w:r>
        <w:rPr>
          <w:rFonts w:hint="eastAsia" w:ascii="Times New Roman" w:hAnsi="Times New Roman" w:eastAsia="仿宋_GB2312" w:cs="Times New Roman"/>
          <w:color w:val="000000"/>
          <w:sz w:val="32"/>
          <w:szCs w:val="32"/>
          <w:lang w:eastAsia="zh-CN"/>
        </w:rPr>
        <w:t>、</w:t>
      </w:r>
      <w:r>
        <w:rPr>
          <w:rFonts w:hint="default" w:ascii="Times New Roman" w:hAnsi="Times New Roman" w:eastAsia="仿宋_GB2312" w:cs="Times New Roman"/>
          <w:sz w:val="32"/>
          <w:szCs w:val="32"/>
        </w:rPr>
        <w:t>各</w:t>
      </w:r>
      <w:r>
        <w:rPr>
          <w:rFonts w:hint="default" w:ascii="Times New Roman" w:hAnsi="Times New Roman" w:eastAsia="仿宋_GB2312" w:cs="Times New Roman"/>
          <w:sz w:val="32"/>
          <w:szCs w:val="32"/>
          <w:lang w:eastAsia="zh-CN"/>
        </w:rPr>
        <w:t>市医保局</w:t>
      </w:r>
      <w:r>
        <w:rPr>
          <w:rFonts w:hint="eastAsia" w:ascii="Times New Roman" w:hAnsi="Times New Roman" w:eastAsia="仿宋_GB2312" w:cs="Times New Roman"/>
          <w:sz w:val="32"/>
          <w:szCs w:val="32"/>
          <w:lang w:eastAsia="zh-CN"/>
        </w:rPr>
        <w:t>以及局内相关处室的</w:t>
      </w:r>
      <w:r>
        <w:rPr>
          <w:rFonts w:hint="default" w:ascii="Times New Roman" w:hAnsi="Times New Roman" w:eastAsia="仿宋_GB2312" w:cs="Times New Roman"/>
          <w:sz w:val="32"/>
          <w:szCs w:val="32"/>
        </w:rPr>
        <w:t>意见</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color w:val="000000"/>
          <w:sz w:val="32"/>
          <w:szCs w:val="32"/>
          <w:lang w:val="en-US" w:eastAsia="zh-CN"/>
        </w:rPr>
        <w:t>并</w:t>
      </w:r>
      <w:r>
        <w:rPr>
          <w:rFonts w:hint="default" w:ascii="Times New Roman" w:hAnsi="Times New Roman" w:eastAsia="仿宋_GB2312" w:cs="Times New Roman"/>
          <w:color w:val="auto"/>
          <w:sz w:val="32"/>
          <w:szCs w:val="32"/>
          <w:lang w:val="en-US" w:eastAsia="zh-CN"/>
        </w:rPr>
        <w:t>按规</w:t>
      </w:r>
      <w:r>
        <w:rPr>
          <w:rFonts w:hint="default" w:ascii="Times New Roman" w:hAnsi="Times New Roman" w:eastAsia="仿宋_GB2312" w:cs="Times New Roman"/>
          <w:color w:val="000000"/>
          <w:sz w:val="32"/>
          <w:szCs w:val="32"/>
          <w:lang w:eastAsia="zh-CN"/>
        </w:rPr>
        <w:t>定于</w:t>
      </w:r>
      <w:r>
        <w:rPr>
          <w:rFonts w:hint="eastAsia" w:ascii="Times New Roman" w:hAnsi="Times New Roman" w:eastAsia="仿宋_GB2312" w:cs="Times New Roman"/>
          <w:i w:val="0"/>
          <w:caps w:val="0"/>
          <w:color w:val="000000"/>
          <w:spacing w:val="0"/>
          <w:sz w:val="32"/>
          <w:szCs w:val="32"/>
          <w:u w:val="none"/>
          <w:shd w:val="clear" w:color="auto" w:fill="auto"/>
          <w:lang w:val="en-US" w:eastAsia="zh-CN"/>
        </w:rPr>
        <w:t>1</w:t>
      </w:r>
      <w:r>
        <w:rPr>
          <w:rFonts w:hint="eastAsia" w:ascii="Times New Roman" w:hAnsi="Times New Roman" w:eastAsia="仿宋_GB2312" w:cs="Times New Roman"/>
          <w:i w:val="0"/>
          <w:caps w:val="0"/>
          <w:color w:val="000000"/>
          <w:spacing w:val="0"/>
          <w:sz w:val="32"/>
          <w:szCs w:val="32"/>
          <w:u w:val="none"/>
          <w:shd w:val="clear" w:color="auto" w:fill="auto"/>
          <w:lang w:eastAsia="zh-CN"/>
        </w:rPr>
        <w:t>月</w:t>
      </w:r>
      <w:r>
        <w:rPr>
          <w:rFonts w:hint="eastAsia" w:ascii="Times New Roman" w:hAnsi="Times New Roman" w:eastAsia="仿宋_GB2312" w:cs="Times New Roman"/>
          <w:i w:val="0"/>
          <w:caps w:val="0"/>
          <w:color w:val="000000"/>
          <w:spacing w:val="0"/>
          <w:sz w:val="32"/>
          <w:szCs w:val="32"/>
          <w:u w:val="none"/>
          <w:shd w:val="clear" w:color="auto" w:fill="auto"/>
          <w:lang w:val="en-US" w:eastAsia="zh-CN"/>
        </w:rPr>
        <w:t>26</w:t>
      </w:r>
      <w:r>
        <w:rPr>
          <w:rFonts w:hint="eastAsia" w:ascii="Times New Roman" w:hAnsi="Times New Roman" w:eastAsia="仿宋_GB2312" w:cs="Times New Roman"/>
          <w:i w:val="0"/>
          <w:caps w:val="0"/>
          <w:color w:val="000000"/>
          <w:spacing w:val="0"/>
          <w:sz w:val="32"/>
          <w:szCs w:val="32"/>
          <w:u w:val="none"/>
          <w:shd w:val="clear" w:color="auto" w:fill="auto"/>
          <w:lang w:eastAsia="zh-CN"/>
        </w:rPr>
        <w:t>日至</w:t>
      </w:r>
      <w:r>
        <w:rPr>
          <w:rFonts w:hint="eastAsia" w:ascii="Times New Roman" w:hAnsi="Times New Roman" w:eastAsia="仿宋_GB2312" w:cs="Times New Roman"/>
          <w:i w:val="0"/>
          <w:caps w:val="0"/>
          <w:color w:val="000000"/>
          <w:spacing w:val="0"/>
          <w:sz w:val="32"/>
          <w:szCs w:val="32"/>
          <w:u w:val="none"/>
          <w:shd w:val="clear" w:color="auto" w:fill="auto"/>
          <w:lang w:val="en-US" w:eastAsia="zh-CN"/>
        </w:rPr>
        <w:t>2</w:t>
      </w:r>
      <w:r>
        <w:rPr>
          <w:rFonts w:hint="eastAsia" w:ascii="Times New Roman" w:hAnsi="Times New Roman" w:eastAsia="仿宋_GB2312" w:cs="Times New Roman"/>
          <w:i w:val="0"/>
          <w:caps w:val="0"/>
          <w:color w:val="000000"/>
          <w:spacing w:val="0"/>
          <w:sz w:val="32"/>
          <w:szCs w:val="32"/>
          <w:u w:val="none"/>
          <w:shd w:val="clear" w:color="auto" w:fill="auto"/>
          <w:lang w:eastAsia="zh-CN"/>
        </w:rPr>
        <w:t>月</w:t>
      </w:r>
      <w:r>
        <w:rPr>
          <w:rFonts w:hint="eastAsia" w:ascii="Times New Roman" w:hAnsi="Times New Roman" w:eastAsia="仿宋_GB2312" w:cs="Times New Roman"/>
          <w:i w:val="0"/>
          <w:caps w:val="0"/>
          <w:color w:val="000000"/>
          <w:spacing w:val="0"/>
          <w:sz w:val="32"/>
          <w:szCs w:val="32"/>
          <w:u w:val="none"/>
          <w:shd w:val="clear" w:color="auto" w:fill="auto"/>
          <w:lang w:val="en-US" w:eastAsia="zh-CN"/>
        </w:rPr>
        <w:t>10</w:t>
      </w:r>
      <w:r>
        <w:rPr>
          <w:rFonts w:hint="eastAsia" w:ascii="Times New Roman" w:hAnsi="Times New Roman" w:eastAsia="仿宋_GB2312" w:cs="Times New Roman"/>
          <w:i w:val="0"/>
          <w:caps w:val="0"/>
          <w:color w:val="000000"/>
          <w:spacing w:val="0"/>
          <w:sz w:val="32"/>
          <w:szCs w:val="32"/>
          <w:u w:val="none"/>
          <w:shd w:val="clear" w:color="auto" w:fill="auto"/>
          <w:lang w:eastAsia="zh-CN"/>
        </w:rPr>
        <w:t>日</w:t>
      </w:r>
      <w:r>
        <w:rPr>
          <w:rFonts w:hint="default" w:ascii="Times New Roman" w:hAnsi="Times New Roman" w:eastAsia="仿宋_GB2312" w:cs="Times New Roman"/>
          <w:color w:val="000000"/>
          <w:sz w:val="32"/>
          <w:szCs w:val="32"/>
          <w:lang w:eastAsia="zh-CN"/>
        </w:rPr>
        <w:t>挂网公开征求意见</w:t>
      </w:r>
      <w:r>
        <w:rPr>
          <w:rFonts w:hint="default" w:ascii="Times New Roman" w:hAnsi="Times New Roman" w:eastAsia="仿宋_GB2312" w:cs="Times New Roman"/>
          <w:color w:val="000000"/>
          <w:sz w:val="32"/>
          <w:szCs w:val="32"/>
          <w:lang w:val="en-US" w:eastAsia="zh-CN"/>
        </w:rPr>
        <w:t>。共收集反馈意见54条，采纳或部分采纳</w:t>
      </w:r>
      <w:r>
        <w:rPr>
          <w:rFonts w:hint="eastAsia" w:ascii="Times New Roman" w:hAnsi="Times New Roman" w:eastAsia="仿宋_GB2312" w:cs="Times New Roman"/>
          <w:color w:val="000000"/>
          <w:sz w:val="32"/>
          <w:szCs w:val="32"/>
          <w:lang w:val="en-US" w:eastAsia="zh-CN"/>
        </w:rPr>
        <w:t>41</w:t>
      </w:r>
      <w:r>
        <w:rPr>
          <w:rFonts w:hint="default" w:ascii="Times New Roman" w:hAnsi="Times New Roman" w:eastAsia="仿宋_GB2312" w:cs="Times New Roman"/>
          <w:color w:val="000000"/>
          <w:sz w:val="32"/>
          <w:szCs w:val="32"/>
          <w:lang w:val="en-US" w:eastAsia="zh-CN"/>
        </w:rPr>
        <w:t>条，不采纳</w:t>
      </w:r>
      <w:r>
        <w:rPr>
          <w:rFonts w:hint="eastAsia" w:ascii="Times New Roman" w:hAnsi="Times New Roman" w:eastAsia="仿宋_GB2312" w:cs="Times New Roman"/>
          <w:color w:val="000000"/>
          <w:sz w:val="32"/>
          <w:szCs w:val="32"/>
          <w:lang w:val="en-US" w:eastAsia="zh-CN"/>
        </w:rPr>
        <w:t>13</w:t>
      </w:r>
      <w:r>
        <w:rPr>
          <w:rFonts w:hint="default" w:ascii="Times New Roman" w:hAnsi="Times New Roman" w:eastAsia="仿宋_GB2312" w:cs="Times New Roman"/>
          <w:color w:val="000000"/>
          <w:sz w:val="32"/>
          <w:szCs w:val="32"/>
          <w:lang w:val="en-US" w:eastAsia="zh-CN"/>
        </w:rPr>
        <w:t>条</w:t>
      </w:r>
      <w:r>
        <w:rPr>
          <w:rFonts w:hint="default" w:ascii="Times New Roman" w:hAnsi="Times New Roman" w:eastAsia="仿宋_GB2312" w:cs="Times New Roman"/>
          <w:color w:val="000000"/>
          <w:sz w:val="32"/>
          <w:szCs w:val="32"/>
          <w:lang w:val="en" w:eastAsia="zh-CN"/>
        </w:rPr>
        <w:t>（主要与国家政策和我省实际不相符）</w:t>
      </w:r>
      <w:r>
        <w:rPr>
          <w:rFonts w:hint="default"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sz w:val="32"/>
          <w:szCs w:val="32"/>
          <w:lang w:eastAsia="zh-CN"/>
        </w:rPr>
        <w:t>根据上述意见建议，我</w:t>
      </w:r>
      <w:r>
        <w:rPr>
          <w:rFonts w:hint="eastAsia" w:eastAsia="仿宋_GB2312" w:cs="Times New Roman"/>
          <w:sz w:val="32"/>
          <w:szCs w:val="32"/>
          <w:lang w:eastAsia="zh-CN"/>
        </w:rPr>
        <w:t>局</w:t>
      </w:r>
      <w:r>
        <w:rPr>
          <w:rFonts w:hint="default" w:ascii="Times New Roman" w:hAnsi="Times New Roman" w:eastAsia="仿宋_GB2312" w:cs="Times New Roman"/>
          <w:sz w:val="32"/>
          <w:szCs w:val="32"/>
          <w:lang w:eastAsia="zh-CN"/>
        </w:rPr>
        <w:t>进一步修改完善</w:t>
      </w:r>
      <w:r>
        <w:rPr>
          <w:rFonts w:hint="default"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eastAsia="zh-CN"/>
        </w:rPr>
        <w:t>形成《实施</w:t>
      </w:r>
      <w:r>
        <w:rPr>
          <w:rFonts w:hint="eastAsia" w:ascii="Times New Roman" w:hAnsi="Times New Roman" w:eastAsia="仿宋_GB2312" w:cs="Times New Roman"/>
          <w:sz w:val="32"/>
          <w:szCs w:val="32"/>
          <w:lang w:eastAsia="zh-CN"/>
        </w:rPr>
        <w:t>细则</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并于2月28日经局党组会审议通过。</w:t>
      </w:r>
    </w:p>
    <w:p>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lang w:eastAsia="zh-CN"/>
        </w:rPr>
        <w:t>三</w:t>
      </w:r>
      <w:r>
        <w:rPr>
          <w:rFonts w:hint="default" w:ascii="Times New Roman" w:hAnsi="Times New Roman" w:eastAsia="黑体" w:cs="Times New Roman"/>
          <w:b w:val="0"/>
          <w:bCs w:val="0"/>
          <w:sz w:val="32"/>
          <w:szCs w:val="32"/>
        </w:rPr>
        <w:t>、</w:t>
      </w:r>
      <w:r>
        <w:rPr>
          <w:rFonts w:hint="default" w:ascii="Times New Roman" w:hAnsi="Times New Roman" w:eastAsia="黑体" w:cs="Times New Roman"/>
          <w:b w:val="0"/>
          <w:bCs w:val="0"/>
          <w:sz w:val="32"/>
          <w:szCs w:val="32"/>
          <w:lang w:eastAsia="zh-CN"/>
        </w:rPr>
        <w:t>政策</w:t>
      </w:r>
      <w:r>
        <w:rPr>
          <w:rFonts w:hint="default" w:ascii="Times New Roman" w:hAnsi="Times New Roman" w:eastAsia="黑体" w:cs="Times New Roman"/>
          <w:b w:val="0"/>
          <w:bCs w:val="0"/>
          <w:sz w:val="32"/>
          <w:szCs w:val="32"/>
        </w:rPr>
        <w:t>依据</w:t>
      </w:r>
    </w:p>
    <w:p>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eastAsia" w:ascii="Times New Roman" w:hAnsi="Times New Roman" w:eastAsia="仿宋_GB2312" w:cs="Times New Roman"/>
          <w:color w:val="auto"/>
          <w:sz w:val="32"/>
          <w:szCs w:val="32"/>
          <w:highlight w:val="none"/>
          <w:u w:val="none"/>
          <w:lang w:val="en-US" w:eastAsia="zh-CN"/>
        </w:rPr>
      </w:pPr>
      <w:r>
        <w:rPr>
          <w:rFonts w:hint="eastAsia" w:ascii="Times New Roman" w:hAnsi="Times New Roman" w:eastAsia="仿宋_GB2312" w:cs="Times New Roman"/>
          <w:color w:val="auto"/>
          <w:sz w:val="32"/>
          <w:szCs w:val="32"/>
          <w:highlight w:val="none"/>
          <w:u w:val="none"/>
          <w:lang w:val="en-US" w:eastAsia="zh-CN"/>
        </w:rPr>
        <w:t>（一）</w:t>
      </w:r>
      <w:r>
        <w:rPr>
          <w:rFonts w:hint="default" w:ascii="Times New Roman" w:hAnsi="Times New Roman" w:eastAsia="仿宋_GB2312" w:cs="Times New Roman"/>
          <w:color w:val="auto"/>
          <w:sz w:val="32"/>
          <w:szCs w:val="32"/>
          <w:highlight w:val="none"/>
          <w:u w:val="none"/>
          <w:lang w:val="en-US" w:eastAsia="zh-CN"/>
        </w:rPr>
        <w:t>《国家医保局、国家卫生健康委、国家药监局关于建立定点医药机构相关人员医保支付资格管理制度的指导意见》（医保发〔2024〕23号</w:t>
      </w:r>
      <w:r>
        <w:rPr>
          <w:rFonts w:hint="eastAsia" w:ascii="Times New Roman" w:hAnsi="Times New Roman" w:eastAsia="仿宋_GB2312" w:cs="Times New Roman"/>
          <w:color w:val="auto"/>
          <w:sz w:val="32"/>
          <w:szCs w:val="32"/>
          <w:highlight w:val="none"/>
          <w:u w:val="none"/>
          <w:lang w:val="en-US" w:eastAsia="zh-CN"/>
        </w:rPr>
        <w:t>）；</w:t>
      </w:r>
    </w:p>
    <w:p>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eastAsia" w:ascii="Times New Roman" w:hAnsi="Times New Roman" w:eastAsia="仿宋_GB2312" w:cs="Times New Roman"/>
          <w:color w:val="auto"/>
          <w:sz w:val="32"/>
          <w:szCs w:val="32"/>
          <w:highlight w:val="none"/>
          <w:u w:val="none"/>
          <w:lang w:val="en-US" w:eastAsia="zh-CN"/>
        </w:rPr>
        <w:t>（二）国家医疗保障局办公室关于印发《医疗保障定点医药机构相关人员医保支付资格管理经办规程（试行）》的通知；</w:t>
      </w:r>
    </w:p>
    <w:p>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eastAsia" w:ascii="Times New Roman" w:hAnsi="Times New Roman" w:eastAsia="仿宋_GB2312" w:cs="Times New Roman"/>
          <w:color w:val="auto"/>
          <w:sz w:val="32"/>
          <w:szCs w:val="32"/>
          <w:highlight w:val="none"/>
          <w:u w:val="none"/>
          <w:lang w:val="en-US" w:eastAsia="zh-CN"/>
        </w:rPr>
        <w:t>（三）广东省医疗保障局关于印发广东省医疗机构医疗保障定点管理暂行办法的通知；</w:t>
      </w:r>
    </w:p>
    <w:p>
      <w:pPr>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t>（</w:t>
      </w:r>
      <w:r>
        <w:rPr>
          <w:rFonts w:hint="eastAsia" w:ascii="Times New Roman" w:hAnsi="Times New Roman" w:eastAsia="仿宋_GB2312" w:cs="Times New Roman"/>
          <w:color w:val="auto"/>
          <w:sz w:val="32"/>
          <w:szCs w:val="32"/>
          <w:highlight w:val="none"/>
          <w:u w:val="none"/>
          <w:lang w:val="en-US" w:eastAsia="zh-CN"/>
        </w:rPr>
        <w:t>四</w:t>
      </w:r>
      <w:r>
        <w:rPr>
          <w:rFonts w:hint="default" w:ascii="Times New Roman" w:hAnsi="Times New Roman" w:eastAsia="仿宋_GB2312" w:cs="Times New Roman"/>
          <w:color w:val="auto"/>
          <w:sz w:val="32"/>
          <w:szCs w:val="32"/>
          <w:highlight w:val="none"/>
          <w:u w:val="none"/>
          <w:lang w:val="en-US" w:eastAsia="zh-CN"/>
        </w:rPr>
        <w:t>）广东省医疗保障局关于印发广东省零售药店医疗保障定点管理暂行办法的通知</w:t>
      </w:r>
      <w:r>
        <w:rPr>
          <w:rFonts w:hint="eastAsia" w:eastAsia="仿宋_GB2312" w:cs="Times New Roman"/>
          <w:color w:val="auto"/>
          <w:sz w:val="32"/>
          <w:szCs w:val="32"/>
          <w:highlight w:val="none"/>
          <w:u w:val="none"/>
          <w:lang w:val="en-US" w:eastAsia="zh-CN"/>
        </w:rPr>
        <w:t>。</w:t>
      </w:r>
    </w:p>
    <w:p>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lang w:eastAsia="zh-CN"/>
        </w:rPr>
        <w:t>四</w:t>
      </w:r>
      <w:r>
        <w:rPr>
          <w:rFonts w:hint="default" w:ascii="Times New Roman" w:hAnsi="Times New Roman" w:eastAsia="黑体" w:cs="Times New Roman"/>
          <w:b w:val="0"/>
          <w:bCs w:val="0"/>
          <w:sz w:val="32"/>
          <w:szCs w:val="32"/>
        </w:rPr>
        <w:t>、主要内容</w:t>
      </w:r>
    </w:p>
    <w:p>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N/>
        <w:bidi w:val="0"/>
        <w:snapToGrid/>
        <w:spacing w:line="560" w:lineRule="exact"/>
        <w:ind w:firstLine="640" w:firstLineChars="200"/>
        <w:textAlignment w:val="auto"/>
        <w:rPr>
          <w:rFonts w:hint="default" w:ascii="Times New Roman" w:hAnsi="Times New Roman" w:eastAsia="仿宋_GB2312" w:cs="Times New Roman"/>
          <w:color w:val="auto"/>
          <w:kern w:val="0"/>
          <w:sz w:val="32"/>
          <w:szCs w:val="32"/>
          <w:highlight w:val="none"/>
          <w:lang w:val="en-US" w:eastAsia="zh-CN" w:bidi="ar"/>
        </w:rPr>
      </w:pP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实施细则</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共</w:t>
      </w:r>
      <w:r>
        <w:rPr>
          <w:rFonts w:hint="eastAsia" w:ascii="Times New Roman" w:hAnsi="Times New Roman" w:eastAsia="仿宋_GB2312" w:cs="Times New Roman"/>
          <w:sz w:val="32"/>
          <w:szCs w:val="32"/>
          <w:lang w:val="en-US" w:eastAsia="zh-CN"/>
        </w:rPr>
        <w:t>30</w:t>
      </w:r>
      <w:r>
        <w:rPr>
          <w:rFonts w:hint="eastAsia" w:ascii="Times New Roman" w:hAnsi="Times New Roman" w:eastAsia="仿宋_GB2312" w:cs="Times New Roman"/>
          <w:color w:val="auto"/>
          <w:sz w:val="32"/>
          <w:szCs w:val="32"/>
          <w:lang w:val="en-US" w:eastAsia="zh-CN"/>
        </w:rPr>
        <w:t>条，主要规定了医保支付资格的定义、适用范围、相关部门及定点医药机构职责、登记备案、记分规则和标准、记分结果应用、结果申诉、修复措施、配套措施等。</w:t>
      </w:r>
      <w:r>
        <w:rPr>
          <w:rFonts w:hint="default" w:ascii="Times New Roman" w:hAnsi="Times New Roman" w:eastAsia="仿宋_GB2312" w:cs="Times New Roman"/>
          <w:color w:val="auto"/>
          <w:kern w:val="0"/>
          <w:sz w:val="32"/>
          <w:szCs w:val="32"/>
          <w:highlight w:val="none"/>
          <w:lang w:val="en-US" w:eastAsia="zh-CN" w:bidi="ar"/>
        </w:rPr>
        <w:t>部分重点事项说明如下：</w:t>
      </w:r>
    </w:p>
    <w:p>
      <w:pPr>
        <w:pStyle w:val="53"/>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560" w:lineRule="exact"/>
        <w:textAlignment w:val="auto"/>
        <w:rPr>
          <w:rFonts w:hint="default" w:ascii="Times New Roman" w:hAnsi="Times New Roman" w:cs="Times New Roman"/>
          <w:spacing w:val="0"/>
          <w:lang w:val="en-US" w:eastAsia="zh-CN"/>
        </w:rPr>
      </w:pPr>
      <w:r>
        <w:rPr>
          <w:rFonts w:hint="default" w:ascii="Times New Roman" w:hAnsi="Times New Roman" w:eastAsia="楷体_GB2312" w:cs="Times New Roman"/>
          <w:b w:val="0"/>
          <w:bCs w:val="0"/>
          <w:color w:val="auto"/>
          <w:kern w:val="0"/>
          <w:sz w:val="32"/>
          <w:szCs w:val="32"/>
          <w:highlight w:val="none"/>
          <w:lang w:val="en-US" w:eastAsia="zh-CN" w:bidi="ar"/>
        </w:rPr>
        <w:t>（一）</w:t>
      </w:r>
      <w:r>
        <w:rPr>
          <w:rFonts w:hint="eastAsia" w:ascii="Times New Roman" w:hAnsi="Times New Roman" w:eastAsia="楷体_GB2312" w:cs="Times New Roman"/>
          <w:b w:val="0"/>
          <w:bCs w:val="0"/>
          <w:color w:val="auto"/>
          <w:kern w:val="0"/>
          <w:sz w:val="32"/>
          <w:szCs w:val="32"/>
          <w:highlight w:val="none"/>
          <w:lang w:val="en-US" w:eastAsia="zh-CN" w:bidi="ar"/>
        </w:rPr>
        <w:t>关于管理对象范围。</w:t>
      </w:r>
      <w:r>
        <w:rPr>
          <w:rFonts w:hint="eastAsia" w:ascii="Times New Roman" w:hAnsi="Times New Roman" w:cs="Times New Roman"/>
          <w:spacing w:val="0"/>
          <w:lang w:val="en-US" w:eastAsia="zh-CN"/>
        </w:rPr>
        <w:t>第三条明确</w:t>
      </w:r>
      <w:r>
        <w:rPr>
          <w:rFonts w:hint="default" w:ascii="Times New Roman" w:hAnsi="Times New Roman" w:cs="Times New Roman"/>
          <w:spacing w:val="0"/>
          <w:lang w:val="en-US" w:eastAsia="zh-CN"/>
        </w:rPr>
        <w:t>定点医药机构与医保经办机构签订服务协议，相关人员</w:t>
      </w:r>
      <w:r>
        <w:rPr>
          <w:rFonts w:hint="eastAsia" w:cs="Times New Roman"/>
          <w:spacing w:val="0"/>
          <w:lang w:val="en-US" w:eastAsia="zh-CN"/>
        </w:rPr>
        <w:t>就</w:t>
      </w:r>
      <w:r>
        <w:rPr>
          <w:rFonts w:hint="default" w:ascii="Times New Roman" w:hAnsi="Times New Roman" w:cs="Times New Roman"/>
          <w:spacing w:val="0"/>
          <w:lang w:val="en-US" w:eastAsia="zh-CN"/>
        </w:rPr>
        <w:t>获得医保支付资格，</w:t>
      </w:r>
      <w:r>
        <w:rPr>
          <w:rFonts w:hint="eastAsia" w:cs="Times New Roman"/>
          <w:spacing w:val="0"/>
          <w:lang w:val="en-US" w:eastAsia="zh-CN"/>
        </w:rPr>
        <w:t>并</w:t>
      </w:r>
      <w:r>
        <w:rPr>
          <w:rFonts w:hint="default" w:ascii="Times New Roman" w:hAnsi="Times New Roman" w:cs="Times New Roman"/>
          <w:spacing w:val="0"/>
          <w:lang w:val="en-US" w:eastAsia="zh-CN"/>
        </w:rPr>
        <w:t>纳入医保监管范围。</w:t>
      </w:r>
      <w:r>
        <w:rPr>
          <w:rFonts w:hint="eastAsia" w:cs="Times New Roman"/>
          <w:spacing w:val="0"/>
          <w:lang w:val="en-US" w:eastAsia="zh-CN"/>
        </w:rPr>
        <w:t>第二条规定管理对象</w:t>
      </w:r>
      <w:r>
        <w:rPr>
          <w:rFonts w:hint="default" w:ascii="Times New Roman" w:hAnsi="Times New Roman" w:cs="Times New Roman"/>
          <w:spacing w:val="0"/>
          <w:lang w:val="en-US" w:eastAsia="zh-CN"/>
        </w:rPr>
        <w:t>主要包括两类：</w:t>
      </w:r>
      <w:r>
        <w:rPr>
          <w:rFonts w:hint="default" w:ascii="Times New Roman" w:hAnsi="Times New Roman" w:eastAsia="黑体" w:cs="Times New Roman"/>
          <w:b w:val="0"/>
          <w:bCs w:val="0"/>
          <w:spacing w:val="0"/>
          <w:lang w:val="en-US" w:eastAsia="zh-CN"/>
        </w:rPr>
        <w:t>第一类</w:t>
      </w:r>
      <w:r>
        <w:rPr>
          <w:rFonts w:hint="default" w:ascii="Times New Roman" w:hAnsi="Times New Roman" w:cs="Times New Roman"/>
          <w:spacing w:val="0"/>
          <w:lang w:val="en-US" w:eastAsia="zh-CN"/>
        </w:rPr>
        <w:t>是</w:t>
      </w:r>
      <w:r>
        <w:rPr>
          <w:rFonts w:hint="eastAsia" w:cs="Times New Roman"/>
          <w:spacing w:val="0"/>
          <w:lang w:val="en-US" w:eastAsia="zh-CN"/>
        </w:rPr>
        <w:t>定点医疗机构</w:t>
      </w:r>
      <w:r>
        <w:rPr>
          <w:rFonts w:hint="default" w:ascii="Times New Roman" w:hAnsi="Times New Roman" w:cs="Times New Roman"/>
          <w:spacing w:val="0"/>
          <w:lang w:val="en-US" w:eastAsia="zh-CN"/>
        </w:rPr>
        <w:t>相关人员，包括为参保人提供服务的医疗类、</w:t>
      </w:r>
      <w:r>
        <w:rPr>
          <w:rFonts w:hint="eastAsia" w:cs="Times New Roman"/>
          <w:spacing w:val="0"/>
          <w:lang w:val="en-US" w:eastAsia="zh-CN"/>
        </w:rPr>
        <w:t>药学类、</w:t>
      </w:r>
      <w:r>
        <w:rPr>
          <w:rFonts w:hint="default" w:ascii="Times New Roman" w:hAnsi="Times New Roman" w:cs="Times New Roman"/>
          <w:spacing w:val="0"/>
          <w:lang w:val="en-US" w:eastAsia="zh-CN"/>
        </w:rPr>
        <w:t>护理类、技术类</w:t>
      </w:r>
      <w:r>
        <w:rPr>
          <w:rFonts w:hint="eastAsia" w:cs="Times New Roman"/>
          <w:spacing w:val="0"/>
          <w:lang w:val="en-US" w:eastAsia="zh-CN"/>
        </w:rPr>
        <w:t>等</w:t>
      </w:r>
      <w:r>
        <w:rPr>
          <w:rFonts w:hint="default" w:ascii="Times New Roman" w:hAnsi="Times New Roman" w:cs="Times New Roman"/>
          <w:spacing w:val="0"/>
          <w:lang w:val="en-US" w:eastAsia="zh-CN"/>
        </w:rPr>
        <w:t>卫生专业技术人员，以及负责医疗费用和医保结算审核的相关工作人员。</w:t>
      </w:r>
      <w:r>
        <w:rPr>
          <w:rFonts w:hint="default" w:ascii="Times New Roman" w:hAnsi="Times New Roman" w:eastAsia="黑体" w:cs="Times New Roman"/>
          <w:b w:val="0"/>
          <w:bCs w:val="0"/>
          <w:spacing w:val="0"/>
          <w:lang w:val="en-US" w:eastAsia="zh-CN"/>
        </w:rPr>
        <w:t>第二类</w:t>
      </w:r>
      <w:r>
        <w:rPr>
          <w:rFonts w:hint="default" w:ascii="Times New Roman" w:hAnsi="Times New Roman" w:cs="Times New Roman"/>
          <w:spacing w:val="0"/>
          <w:lang w:val="en-US" w:eastAsia="zh-CN"/>
        </w:rPr>
        <w:t>是定点零售药店的主要负责人，即药品经营许可证上的主要负责人。</w:t>
      </w:r>
    </w:p>
    <w:p>
      <w:pPr>
        <w:pStyle w:val="53"/>
        <w:keepNext w:val="0"/>
        <w:keepLines w:val="0"/>
        <w:pageBreakBefore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560" w:lineRule="exact"/>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楷体_GB2312" w:cs="Times New Roman"/>
          <w:b w:val="0"/>
          <w:bCs w:val="0"/>
          <w:color w:val="auto"/>
          <w:kern w:val="0"/>
          <w:sz w:val="32"/>
          <w:szCs w:val="32"/>
          <w:highlight w:val="none"/>
          <w:lang w:val="en-US" w:eastAsia="zh-CN" w:bidi="ar"/>
        </w:rPr>
        <w:t>（</w:t>
      </w:r>
      <w:r>
        <w:rPr>
          <w:rFonts w:hint="eastAsia" w:ascii="Times New Roman" w:hAnsi="Times New Roman" w:eastAsia="楷体_GB2312" w:cs="Times New Roman"/>
          <w:b w:val="0"/>
          <w:bCs w:val="0"/>
          <w:color w:val="auto"/>
          <w:kern w:val="0"/>
          <w:sz w:val="32"/>
          <w:szCs w:val="32"/>
          <w:highlight w:val="none"/>
          <w:lang w:val="en-US" w:eastAsia="zh-CN" w:bidi="ar"/>
        </w:rPr>
        <w:t>二</w:t>
      </w:r>
      <w:r>
        <w:rPr>
          <w:rFonts w:hint="default" w:ascii="Times New Roman" w:hAnsi="Times New Roman" w:eastAsia="楷体_GB2312" w:cs="Times New Roman"/>
          <w:b w:val="0"/>
          <w:bCs w:val="0"/>
          <w:color w:val="auto"/>
          <w:kern w:val="0"/>
          <w:sz w:val="32"/>
          <w:szCs w:val="32"/>
          <w:highlight w:val="none"/>
          <w:lang w:val="en-US" w:eastAsia="zh-CN" w:bidi="ar"/>
        </w:rPr>
        <w:t>）</w:t>
      </w:r>
      <w:r>
        <w:rPr>
          <w:rFonts w:hint="eastAsia" w:ascii="Times New Roman" w:hAnsi="Times New Roman" w:eastAsia="楷体_GB2312" w:cs="Times New Roman"/>
          <w:b w:val="0"/>
          <w:bCs w:val="0"/>
          <w:color w:val="auto"/>
          <w:kern w:val="0"/>
          <w:sz w:val="32"/>
          <w:szCs w:val="32"/>
          <w:highlight w:val="none"/>
          <w:lang w:val="en-US" w:eastAsia="zh-CN" w:bidi="ar"/>
        </w:rPr>
        <w:t>关于登记备案管理。</w:t>
      </w:r>
      <w:r>
        <w:rPr>
          <w:rFonts w:hint="eastAsia" w:ascii="Times New Roman" w:hAnsi="Times New Roman" w:cs="Times New Roman"/>
          <w:spacing w:val="0"/>
          <w:lang w:val="en-US" w:eastAsia="zh-CN"/>
        </w:rPr>
        <w:t>第八条规定了定点医药机构对相关人员登记备案的内容。第十条明确了登记备案状态包括正常、暂停、终止三类。其中，</w:t>
      </w:r>
      <w:r>
        <w:rPr>
          <w:rFonts w:hint="default" w:ascii="Times New Roman" w:hAnsi="Times New Roman" w:cs="Times New Roman"/>
          <w:spacing w:val="0"/>
          <w:lang w:val="en-US" w:eastAsia="zh-CN"/>
        </w:rPr>
        <w:t>相关人员经首次登记备案，</w:t>
      </w:r>
      <w:r>
        <w:rPr>
          <w:rFonts w:hint="default" w:ascii="Times New Roman" w:hAnsi="Times New Roman" w:cs="Times New Roman"/>
          <w:spacing w:val="0"/>
          <w:lang w:val="en" w:eastAsia="zh-CN"/>
        </w:rPr>
        <w:t>状态</w:t>
      </w:r>
      <w:r>
        <w:rPr>
          <w:rFonts w:hint="default" w:ascii="Times New Roman" w:hAnsi="Times New Roman" w:eastAsia="仿宋_GB2312" w:cs="Times New Roman"/>
          <w:color w:val="auto"/>
          <w:sz w:val="32"/>
          <w:szCs w:val="32"/>
          <w:highlight w:val="none"/>
          <w:u w:val="none"/>
          <w:lang w:val="en-US" w:eastAsia="zh-CN"/>
        </w:rPr>
        <w:t>即为</w:t>
      </w:r>
      <w:r>
        <w:rPr>
          <w:rFonts w:hint="eastAsia" w:ascii="黑体" w:hAnsi="黑体" w:eastAsia="黑体" w:cs="黑体"/>
          <w:color w:val="auto"/>
          <w:sz w:val="32"/>
          <w:szCs w:val="32"/>
          <w:highlight w:val="none"/>
          <w:u w:val="none"/>
          <w:lang w:val="en-US" w:eastAsia="zh-CN"/>
        </w:rPr>
        <w:t>正常</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相关人员可以正常开展涉及医保基金使用的医药服务、计费服务等，</w:t>
      </w:r>
      <w:r>
        <w:rPr>
          <w:rFonts w:hint="default" w:ascii="Times New Roman" w:hAnsi="Times New Roman" w:eastAsia="仿宋_GB2312" w:cs="Times New Roman"/>
          <w:color w:val="auto"/>
          <w:sz w:val="32"/>
          <w:szCs w:val="32"/>
          <w:highlight w:val="none"/>
          <w:u w:val="none"/>
          <w:lang w:val="en" w:eastAsia="zh-CN"/>
        </w:rPr>
        <w:t>医保</w:t>
      </w:r>
      <w:r>
        <w:rPr>
          <w:rFonts w:hint="default" w:ascii="Times New Roman" w:hAnsi="Times New Roman" w:eastAsia="仿宋_GB2312" w:cs="Times New Roman"/>
          <w:color w:val="auto"/>
          <w:sz w:val="32"/>
          <w:szCs w:val="32"/>
          <w:highlight w:val="none"/>
          <w:u w:val="none"/>
          <w:lang w:val="en-US" w:eastAsia="zh-CN"/>
        </w:rPr>
        <w:t>基金</w:t>
      </w:r>
      <w:r>
        <w:rPr>
          <w:rFonts w:hint="default" w:ascii="Times New Roman" w:hAnsi="Times New Roman" w:eastAsia="仿宋_GB2312" w:cs="Times New Roman"/>
          <w:color w:val="auto"/>
          <w:sz w:val="32"/>
          <w:szCs w:val="32"/>
          <w:highlight w:val="none"/>
          <w:u w:val="none"/>
          <w:lang w:val="en" w:eastAsia="zh-CN"/>
        </w:rPr>
        <w:t>按规定予以</w:t>
      </w:r>
      <w:r>
        <w:rPr>
          <w:rFonts w:hint="default" w:ascii="Times New Roman" w:hAnsi="Times New Roman" w:eastAsia="仿宋_GB2312" w:cs="Times New Roman"/>
          <w:color w:val="auto"/>
          <w:sz w:val="32"/>
          <w:szCs w:val="32"/>
          <w:highlight w:val="none"/>
          <w:u w:val="none"/>
          <w:lang w:val="en-US" w:eastAsia="zh-CN"/>
        </w:rPr>
        <w:t>结算</w:t>
      </w:r>
      <w:r>
        <w:rPr>
          <w:rFonts w:hint="default" w:ascii="Times New Roman" w:hAnsi="Times New Roman" w:eastAsia="仿宋_GB2312" w:cs="Times New Roman"/>
          <w:color w:val="auto"/>
          <w:sz w:val="32"/>
          <w:szCs w:val="32"/>
          <w:highlight w:val="none"/>
          <w:u w:val="none"/>
          <w:lang w:val="en" w:eastAsia="zh-CN"/>
        </w:rPr>
        <w:t>支付</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登记备案状态</w:t>
      </w:r>
      <w:r>
        <w:rPr>
          <w:rFonts w:hint="default" w:ascii="Times New Roman" w:hAnsi="Times New Roman" w:eastAsia="仿宋_GB2312" w:cs="Times New Roman"/>
          <w:color w:val="auto"/>
          <w:sz w:val="32"/>
          <w:szCs w:val="32"/>
          <w:highlight w:val="none"/>
          <w:u w:val="none"/>
          <w:lang w:val="en" w:eastAsia="zh-CN"/>
        </w:rPr>
        <w:t>为</w:t>
      </w:r>
      <w:r>
        <w:rPr>
          <w:rFonts w:hint="eastAsia" w:ascii="黑体" w:hAnsi="黑体" w:eastAsia="黑体" w:cs="黑体"/>
          <w:color w:val="auto"/>
          <w:sz w:val="32"/>
          <w:szCs w:val="32"/>
          <w:highlight w:val="none"/>
          <w:u w:val="none"/>
          <w:lang w:val="en-US" w:eastAsia="zh-CN"/>
        </w:rPr>
        <w:t>暂停</w:t>
      </w:r>
      <w:r>
        <w:rPr>
          <w:rFonts w:hint="default" w:ascii="Times New Roman" w:hAnsi="Times New Roman" w:eastAsia="仿宋_GB2312" w:cs="Times New Roman"/>
          <w:color w:val="auto"/>
          <w:sz w:val="32"/>
          <w:szCs w:val="32"/>
          <w:highlight w:val="none"/>
          <w:u w:val="none"/>
          <w:lang w:val="en" w:eastAsia="zh-CN"/>
        </w:rPr>
        <w:t>或</w:t>
      </w:r>
      <w:r>
        <w:rPr>
          <w:rFonts w:hint="eastAsia" w:ascii="黑体" w:hAnsi="黑体" w:eastAsia="黑体" w:cs="黑体"/>
          <w:color w:val="auto"/>
          <w:sz w:val="32"/>
          <w:szCs w:val="32"/>
          <w:highlight w:val="none"/>
          <w:u w:val="none"/>
          <w:lang w:val="en" w:eastAsia="zh-CN"/>
        </w:rPr>
        <w:t>终止</w:t>
      </w:r>
      <w:r>
        <w:rPr>
          <w:rFonts w:hint="default" w:ascii="Times New Roman" w:hAnsi="Times New Roman" w:eastAsia="仿宋_GB2312" w:cs="Times New Roman"/>
          <w:color w:val="auto"/>
          <w:sz w:val="32"/>
          <w:szCs w:val="32"/>
          <w:highlight w:val="none"/>
          <w:u w:val="none"/>
          <w:lang w:val="en-US" w:eastAsia="zh-CN"/>
        </w:rPr>
        <w:t>的相关责任人员</w:t>
      </w:r>
      <w:r>
        <w:rPr>
          <w:rFonts w:hint="default" w:ascii="Times New Roman" w:hAnsi="Times New Roman" w:eastAsia="仿宋_GB2312" w:cs="Times New Roman"/>
          <w:color w:val="auto"/>
          <w:sz w:val="32"/>
          <w:szCs w:val="32"/>
          <w:highlight w:val="none"/>
          <w:u w:val="none"/>
          <w:lang w:val="en" w:eastAsia="zh-CN"/>
        </w:rPr>
        <w:t>，在</w:t>
      </w:r>
      <w:r>
        <w:rPr>
          <w:rFonts w:hint="default" w:ascii="Times New Roman" w:hAnsi="Times New Roman" w:eastAsia="仿宋_GB2312" w:cs="Times New Roman"/>
          <w:color w:val="auto"/>
          <w:sz w:val="32"/>
          <w:szCs w:val="32"/>
          <w:highlight w:val="none"/>
          <w:u w:val="none"/>
          <w:lang w:val="en-US" w:eastAsia="zh-CN"/>
        </w:rPr>
        <w:t>暂停期</w:t>
      </w:r>
      <w:r>
        <w:rPr>
          <w:rFonts w:hint="default" w:ascii="Times New Roman" w:hAnsi="Times New Roman" w:eastAsia="仿宋_GB2312" w:cs="Times New Roman"/>
          <w:color w:val="auto"/>
          <w:sz w:val="32"/>
          <w:szCs w:val="32"/>
          <w:highlight w:val="none"/>
          <w:u w:val="none"/>
          <w:lang w:val="en" w:eastAsia="zh-CN"/>
        </w:rPr>
        <w:t>或终止期</w:t>
      </w:r>
      <w:r>
        <w:rPr>
          <w:rFonts w:hint="default" w:ascii="Times New Roman" w:hAnsi="Times New Roman" w:eastAsia="仿宋_GB2312" w:cs="Times New Roman"/>
          <w:color w:val="auto"/>
          <w:sz w:val="32"/>
          <w:szCs w:val="32"/>
          <w:highlight w:val="none"/>
          <w:u w:val="none"/>
          <w:lang w:val="en-US" w:eastAsia="zh-CN"/>
        </w:rPr>
        <w:t>内</w:t>
      </w:r>
      <w:r>
        <w:rPr>
          <w:rFonts w:hint="default" w:ascii="Times New Roman" w:hAnsi="Times New Roman" w:eastAsia="仿宋_GB2312" w:cs="Times New Roman"/>
          <w:color w:val="auto"/>
          <w:sz w:val="32"/>
          <w:szCs w:val="32"/>
          <w:highlight w:val="none"/>
          <w:u w:val="none"/>
          <w:lang w:val="en" w:eastAsia="zh-CN"/>
        </w:rPr>
        <w:t>，</w:t>
      </w:r>
      <w:r>
        <w:rPr>
          <w:rFonts w:hint="default" w:ascii="Times New Roman" w:hAnsi="Times New Roman" w:eastAsia="仿宋_GB2312" w:cs="Times New Roman"/>
          <w:strike w:val="0"/>
          <w:color w:val="auto"/>
          <w:sz w:val="32"/>
          <w:szCs w:val="32"/>
          <w:highlight w:val="none"/>
          <w:u w:val="none"/>
          <w:lang w:val="en" w:eastAsia="zh-CN"/>
        </w:rPr>
        <w:t>除</w:t>
      </w:r>
      <w:r>
        <w:rPr>
          <w:rFonts w:hint="default" w:ascii="Times New Roman" w:hAnsi="Times New Roman" w:eastAsia="仿宋_GB2312" w:cs="Times New Roman"/>
          <w:strike w:val="0"/>
          <w:color w:val="auto"/>
          <w:sz w:val="32"/>
          <w:szCs w:val="32"/>
          <w:highlight w:val="none"/>
          <w:u w:val="none"/>
          <w:lang w:val="en-US" w:eastAsia="zh-CN"/>
        </w:rPr>
        <w:t>急诊、抢救等特殊情形外</w:t>
      </w:r>
      <w:r>
        <w:rPr>
          <w:rFonts w:hint="default" w:ascii="Times New Roman" w:hAnsi="Times New Roman" w:eastAsia="仿宋_GB2312" w:cs="Times New Roman"/>
          <w:strike w:val="0"/>
          <w:color w:val="auto"/>
          <w:sz w:val="32"/>
          <w:szCs w:val="32"/>
          <w:highlight w:val="none"/>
          <w:u w:val="none"/>
          <w:lang w:val="en" w:eastAsia="zh-CN"/>
        </w:rPr>
        <w:t>，</w:t>
      </w:r>
      <w:r>
        <w:rPr>
          <w:rFonts w:hint="default" w:ascii="Times New Roman" w:hAnsi="Times New Roman" w:eastAsia="仿宋_GB2312" w:cs="Times New Roman"/>
          <w:color w:val="auto"/>
          <w:sz w:val="32"/>
          <w:szCs w:val="32"/>
          <w:highlight w:val="none"/>
          <w:u w:val="none"/>
          <w:lang w:val="en-US" w:eastAsia="zh-CN"/>
        </w:rPr>
        <w:t>提供</w:t>
      </w:r>
      <w:r>
        <w:rPr>
          <w:rFonts w:hint="default" w:ascii="Times New Roman" w:hAnsi="Times New Roman" w:eastAsia="仿宋_GB2312" w:cs="Times New Roman"/>
          <w:color w:val="auto"/>
          <w:sz w:val="32"/>
          <w:szCs w:val="32"/>
          <w:highlight w:val="none"/>
          <w:u w:val="none"/>
          <w:lang w:val="en" w:eastAsia="zh-CN"/>
        </w:rPr>
        <w:t>医药</w:t>
      </w:r>
      <w:r>
        <w:rPr>
          <w:rFonts w:hint="default" w:ascii="Times New Roman" w:hAnsi="Times New Roman" w:eastAsia="仿宋_GB2312" w:cs="Times New Roman"/>
          <w:color w:val="auto"/>
          <w:sz w:val="32"/>
          <w:szCs w:val="32"/>
          <w:highlight w:val="none"/>
          <w:u w:val="none"/>
          <w:lang w:val="en-US" w:eastAsia="zh-CN"/>
        </w:rPr>
        <w:t>服务发生的医保费用</w:t>
      </w:r>
      <w:r>
        <w:rPr>
          <w:rFonts w:hint="default" w:ascii="Times New Roman" w:hAnsi="Times New Roman" w:eastAsia="仿宋_GB2312" w:cs="Times New Roman"/>
          <w:color w:val="auto"/>
          <w:sz w:val="32"/>
          <w:szCs w:val="32"/>
          <w:highlight w:val="none"/>
          <w:u w:val="none"/>
          <w:lang w:val="en" w:eastAsia="zh-CN"/>
        </w:rPr>
        <w:t>，医保</w:t>
      </w:r>
      <w:r>
        <w:rPr>
          <w:rFonts w:hint="eastAsia" w:ascii="Times New Roman" w:hAnsi="Times New Roman" w:eastAsia="仿宋_GB2312" w:cs="Times New Roman"/>
          <w:color w:val="auto"/>
          <w:sz w:val="32"/>
          <w:szCs w:val="32"/>
          <w:highlight w:val="none"/>
          <w:u w:val="none"/>
          <w:lang w:val="en" w:eastAsia="zh-CN"/>
        </w:rPr>
        <w:t>统筹</w:t>
      </w:r>
      <w:r>
        <w:rPr>
          <w:rFonts w:hint="default" w:ascii="Times New Roman" w:hAnsi="Times New Roman" w:eastAsia="仿宋_GB2312" w:cs="Times New Roman"/>
          <w:color w:val="auto"/>
          <w:sz w:val="32"/>
          <w:szCs w:val="32"/>
          <w:highlight w:val="none"/>
          <w:u w:val="none"/>
          <w:lang w:val="en" w:eastAsia="zh-CN"/>
        </w:rPr>
        <w:t>基金</w:t>
      </w:r>
      <w:r>
        <w:rPr>
          <w:rFonts w:hint="default" w:ascii="Times New Roman" w:hAnsi="Times New Roman" w:eastAsia="仿宋_GB2312" w:cs="Times New Roman"/>
          <w:color w:val="auto"/>
          <w:sz w:val="32"/>
          <w:szCs w:val="32"/>
          <w:highlight w:val="none"/>
          <w:u w:val="none"/>
          <w:lang w:val="en-US" w:eastAsia="zh-CN"/>
        </w:rPr>
        <w:t>不予结算</w:t>
      </w:r>
      <w:r>
        <w:rPr>
          <w:rFonts w:hint="default" w:ascii="Times New Roman" w:hAnsi="Times New Roman" w:eastAsia="仿宋_GB2312" w:cs="Times New Roman"/>
          <w:color w:val="auto"/>
          <w:sz w:val="32"/>
          <w:szCs w:val="32"/>
          <w:highlight w:val="none"/>
          <w:u w:val="none"/>
          <w:lang w:val="en" w:eastAsia="zh-CN"/>
        </w:rPr>
        <w:t>支付。</w:t>
      </w:r>
      <w:r>
        <w:rPr>
          <w:rFonts w:hint="eastAsia" w:ascii="Times New Roman" w:hAnsi="Times New Roman" w:cs="Times New Roman"/>
          <w:color w:val="auto"/>
          <w:sz w:val="32"/>
          <w:szCs w:val="32"/>
          <w:highlight w:val="none"/>
          <w:u w:val="none"/>
          <w:lang w:val="en" w:eastAsia="zh-CN"/>
        </w:rPr>
        <w:t>第十一条规定了登记备案状态联动。</w:t>
      </w:r>
    </w:p>
    <w:p>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楷体_GB2312" w:cs="Times New Roman"/>
          <w:b w:val="0"/>
          <w:bCs w:val="0"/>
          <w:color w:val="auto"/>
          <w:kern w:val="0"/>
          <w:sz w:val="32"/>
          <w:szCs w:val="32"/>
          <w:highlight w:val="none"/>
          <w:lang w:val="en-US" w:eastAsia="zh-CN" w:bidi="ar"/>
        </w:rPr>
        <w:t>（</w:t>
      </w:r>
      <w:r>
        <w:rPr>
          <w:rFonts w:hint="eastAsia" w:ascii="Times New Roman" w:hAnsi="Times New Roman" w:eastAsia="楷体_GB2312" w:cs="Times New Roman"/>
          <w:b w:val="0"/>
          <w:bCs w:val="0"/>
          <w:color w:val="auto"/>
          <w:kern w:val="0"/>
          <w:sz w:val="32"/>
          <w:szCs w:val="32"/>
          <w:highlight w:val="none"/>
          <w:lang w:val="en-US" w:eastAsia="zh-CN" w:bidi="ar"/>
        </w:rPr>
        <w:t>三</w:t>
      </w:r>
      <w:r>
        <w:rPr>
          <w:rFonts w:hint="default" w:ascii="Times New Roman" w:hAnsi="Times New Roman" w:eastAsia="楷体_GB2312" w:cs="Times New Roman"/>
          <w:b w:val="0"/>
          <w:bCs w:val="0"/>
          <w:color w:val="auto"/>
          <w:kern w:val="0"/>
          <w:sz w:val="32"/>
          <w:szCs w:val="32"/>
          <w:highlight w:val="none"/>
          <w:lang w:val="en-US" w:eastAsia="zh-CN" w:bidi="ar"/>
        </w:rPr>
        <w:t>）</w:t>
      </w:r>
      <w:r>
        <w:rPr>
          <w:rFonts w:hint="eastAsia" w:ascii="Times New Roman" w:hAnsi="Times New Roman" w:eastAsia="楷体_GB2312" w:cs="Times New Roman"/>
          <w:b w:val="0"/>
          <w:bCs w:val="0"/>
          <w:color w:val="auto"/>
          <w:kern w:val="0"/>
          <w:sz w:val="32"/>
          <w:szCs w:val="32"/>
          <w:highlight w:val="none"/>
          <w:lang w:val="en-US" w:eastAsia="zh-CN" w:bidi="ar"/>
        </w:rPr>
        <w:t>关于记分规则和标准。</w:t>
      </w:r>
      <w:r>
        <w:rPr>
          <w:rFonts w:hint="eastAsia" w:ascii="Times New Roman" w:hAnsi="Times New Roman" w:eastAsia="仿宋_GB2312" w:cs="Times New Roman"/>
          <w:color w:val="auto"/>
          <w:kern w:val="2"/>
          <w:sz w:val="32"/>
          <w:szCs w:val="32"/>
          <w:highlight w:val="none"/>
          <w:u w:val="none"/>
          <w:lang w:val="en-US" w:eastAsia="zh-CN" w:bidi="ar-SA"/>
        </w:rPr>
        <w:t>第十二条至第二十条明确了记分规定和标准，是医保支付资格的核心内容。</w:t>
      </w:r>
      <w:r>
        <w:rPr>
          <w:rFonts w:hint="default" w:ascii="Times New Roman" w:hAnsi="Times New Roman" w:eastAsia="仿宋_GB2312" w:cs="Times New Roman"/>
          <w:color w:val="auto"/>
          <w:kern w:val="2"/>
          <w:sz w:val="32"/>
          <w:szCs w:val="32"/>
          <w:highlight w:val="none"/>
          <w:u w:val="none"/>
          <w:lang w:val="en-US" w:eastAsia="zh-CN" w:bidi="ar-SA"/>
        </w:rPr>
        <w:t>记</w:t>
      </w:r>
      <w:r>
        <w:rPr>
          <w:rFonts w:hint="default" w:ascii="Times New Roman" w:hAnsi="Times New Roman" w:eastAsia="仿宋_GB2312" w:cs="Times New Roman"/>
          <w:color w:val="auto"/>
          <w:sz w:val="32"/>
          <w:szCs w:val="32"/>
          <w:highlight w:val="none"/>
          <w:u w:val="none"/>
          <w:lang w:val="en-US" w:eastAsia="zh-CN"/>
        </w:rPr>
        <w:t>分在一个自然年度内累加计算，下一个自然年度自动清零。记分以行政处罚、协议处理作出时为记分时点。</w:t>
      </w:r>
      <w:r>
        <w:rPr>
          <w:rFonts w:hint="eastAsia" w:ascii="Times New Roman" w:hAnsi="Times New Roman" w:eastAsia="仿宋_GB2312" w:cs="Times New Roman"/>
          <w:color w:val="auto"/>
          <w:sz w:val="32"/>
          <w:szCs w:val="32"/>
          <w:highlight w:val="none"/>
          <w:u w:val="none"/>
          <w:lang w:val="en-US" w:eastAsia="zh-CN"/>
        </w:rPr>
        <w:t>根据</w:t>
      </w:r>
      <w:r>
        <w:rPr>
          <w:rFonts w:hint="default" w:ascii="Times New Roman" w:hAnsi="Times New Roman" w:eastAsia="仿宋_GB2312" w:cs="Times New Roman"/>
          <w:color w:val="auto"/>
          <w:sz w:val="32"/>
          <w:szCs w:val="32"/>
          <w:highlight w:val="none"/>
          <w:u w:val="none"/>
          <w:lang w:val="en-US" w:eastAsia="zh-CN"/>
        </w:rPr>
        <w:t>相关人员违法违规</w:t>
      </w:r>
      <w:r>
        <w:rPr>
          <w:rFonts w:hint="eastAsia" w:ascii="Times New Roman" w:hAnsi="Times New Roman" w:eastAsia="仿宋_GB2312" w:cs="Times New Roman"/>
          <w:color w:val="auto"/>
          <w:sz w:val="32"/>
          <w:szCs w:val="32"/>
          <w:highlight w:val="none"/>
          <w:u w:val="none"/>
          <w:lang w:val="en-US" w:eastAsia="zh-CN"/>
        </w:rPr>
        <w:t>问题的严重程度</w:t>
      </w:r>
      <w:r>
        <w:rPr>
          <w:rFonts w:hint="default" w:ascii="Times New Roman" w:hAnsi="Times New Roman" w:eastAsia="仿宋_GB2312" w:cs="Times New Roman"/>
          <w:color w:val="auto"/>
          <w:sz w:val="32"/>
          <w:szCs w:val="32"/>
          <w:highlight w:val="none"/>
          <w:u w:val="none"/>
          <w:lang w:val="en-US" w:eastAsia="zh-CN"/>
        </w:rPr>
        <w:t>予以记分</w:t>
      </w:r>
      <w:r>
        <w:rPr>
          <w:rFonts w:hint="eastAsia" w:ascii="Times New Roman" w:hAnsi="Times New Roman" w:eastAsia="仿宋_GB2312" w:cs="Times New Roman"/>
          <w:color w:val="auto"/>
          <w:sz w:val="32"/>
          <w:szCs w:val="32"/>
          <w:highlight w:val="none"/>
          <w:u w:val="none"/>
          <w:lang w:val="en-US" w:eastAsia="zh-CN"/>
        </w:rPr>
        <w:t>，分为</w:t>
      </w:r>
      <w:r>
        <w:rPr>
          <w:rFonts w:hint="default" w:ascii="Times New Roman" w:hAnsi="Times New Roman" w:eastAsia="仿宋_GB2312" w:cs="Times New Roman"/>
          <w:color w:val="auto"/>
          <w:sz w:val="32"/>
          <w:szCs w:val="32"/>
          <w:highlight w:val="none"/>
          <w:u w:val="none"/>
          <w:lang w:val="en-US" w:eastAsia="zh-CN"/>
        </w:rPr>
        <w:t>1-3分</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4-6分</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7-9分</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10-12分</w:t>
      </w:r>
      <w:r>
        <w:rPr>
          <w:rFonts w:hint="eastAsia" w:ascii="Times New Roman" w:hAnsi="Times New Roman" w:eastAsia="仿宋_GB2312" w:cs="Times New Roman"/>
          <w:color w:val="auto"/>
          <w:sz w:val="32"/>
          <w:szCs w:val="32"/>
          <w:highlight w:val="none"/>
          <w:u w:val="none"/>
          <w:lang w:val="en-US" w:eastAsia="zh-CN"/>
        </w:rPr>
        <w:t>四档</w:t>
      </w:r>
      <w:r>
        <w:rPr>
          <w:rFonts w:hint="default" w:ascii="Times New Roman" w:hAnsi="Times New Roman" w:eastAsia="仿宋_GB2312" w:cs="Times New Roman"/>
          <w:color w:val="auto"/>
          <w:sz w:val="32"/>
          <w:szCs w:val="32"/>
          <w:highlight w:val="none"/>
          <w:u w:val="none"/>
          <w:lang w:val="en-US" w:eastAsia="zh-CN"/>
        </w:rPr>
        <w:t>。</w:t>
      </w:r>
      <w:r>
        <w:rPr>
          <w:rFonts w:hint="eastAsia" w:ascii="Times New Roman" w:hAnsi="Times New Roman" w:eastAsia="仿宋_GB2312" w:cs="Times New Roman"/>
          <w:color w:val="auto"/>
          <w:sz w:val="32"/>
          <w:szCs w:val="32"/>
          <w:highlight w:val="none"/>
          <w:u w:val="none"/>
          <w:lang w:val="en-US" w:eastAsia="zh-CN"/>
        </w:rPr>
        <w:t>在《指导意见》的基础上，参照兄弟省份做法，根据我省实际，明确一般责任、重要责任、主要责任三种责任程度的记分标准。</w:t>
      </w:r>
    </w:p>
    <w:p>
      <w:pPr>
        <w:keepNext w:val="0"/>
        <w:keepLines w:val="0"/>
        <w:pageBreakBefore w:val="0"/>
        <w:widowControl w:val="0"/>
        <w:pBdr>
          <w:top w:val="none" w:color="auto" w:sz="0" w:space="1"/>
          <w:left w:val="none" w:color="auto" w:sz="0" w:space="4"/>
          <w:bottom w:val="none" w:color="auto" w:sz="0" w:space="1"/>
          <w:right w:val="none" w:color="auto" w:sz="0" w:space="4"/>
          <w:between w:val="none" w:color="auto" w:sz="0" w:space="0"/>
        </w:pBd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楷体_GB2312" w:cs="Times New Roman"/>
          <w:b w:val="0"/>
          <w:bCs w:val="0"/>
          <w:color w:val="auto"/>
          <w:kern w:val="0"/>
          <w:sz w:val="32"/>
          <w:szCs w:val="32"/>
          <w:highlight w:val="none"/>
          <w:lang w:val="en-US" w:eastAsia="zh-CN" w:bidi="ar"/>
        </w:rPr>
        <w:t>（</w:t>
      </w:r>
      <w:r>
        <w:rPr>
          <w:rFonts w:hint="eastAsia" w:ascii="Times New Roman" w:hAnsi="Times New Roman" w:eastAsia="楷体_GB2312" w:cs="Times New Roman"/>
          <w:b w:val="0"/>
          <w:bCs w:val="0"/>
          <w:color w:val="auto"/>
          <w:kern w:val="0"/>
          <w:sz w:val="32"/>
          <w:szCs w:val="32"/>
          <w:highlight w:val="none"/>
          <w:lang w:val="en-US" w:eastAsia="zh-CN" w:bidi="ar"/>
        </w:rPr>
        <w:t>四</w:t>
      </w:r>
      <w:r>
        <w:rPr>
          <w:rFonts w:hint="default" w:ascii="Times New Roman" w:hAnsi="Times New Roman" w:eastAsia="楷体_GB2312" w:cs="Times New Roman"/>
          <w:b w:val="0"/>
          <w:bCs w:val="0"/>
          <w:color w:val="auto"/>
          <w:kern w:val="0"/>
          <w:sz w:val="32"/>
          <w:szCs w:val="32"/>
          <w:highlight w:val="none"/>
          <w:lang w:val="en-US" w:eastAsia="zh-CN" w:bidi="ar"/>
        </w:rPr>
        <w:t>）</w:t>
      </w:r>
      <w:r>
        <w:rPr>
          <w:rFonts w:hint="eastAsia" w:ascii="Times New Roman" w:hAnsi="Times New Roman" w:eastAsia="楷体_GB2312" w:cs="Times New Roman"/>
          <w:b w:val="0"/>
          <w:bCs w:val="0"/>
          <w:color w:val="auto"/>
          <w:kern w:val="0"/>
          <w:sz w:val="32"/>
          <w:szCs w:val="32"/>
          <w:highlight w:val="none"/>
          <w:lang w:val="en-US" w:eastAsia="zh-CN" w:bidi="ar"/>
        </w:rPr>
        <w:t>关于记分结果应用。</w:t>
      </w:r>
      <w:r>
        <w:rPr>
          <w:rFonts w:hint="eastAsia" w:ascii="Times New Roman" w:hAnsi="Times New Roman" w:eastAsia="仿宋_GB2312" w:cs="Times New Roman"/>
          <w:color w:val="auto"/>
          <w:sz w:val="32"/>
          <w:szCs w:val="32"/>
          <w:highlight w:val="none"/>
          <w:u w:val="none"/>
          <w:lang w:val="en-US" w:eastAsia="zh-CN"/>
        </w:rPr>
        <w:t>在《指导意见》的基础上，</w:t>
      </w:r>
      <w:r>
        <w:rPr>
          <w:rFonts w:hint="eastAsia" w:ascii="Times New Roman" w:hAnsi="Times New Roman" w:eastAsia="仿宋_GB2312" w:cs="Times New Roman"/>
          <w:b w:val="0"/>
          <w:bCs w:val="0"/>
          <w:color w:val="auto"/>
          <w:sz w:val="32"/>
          <w:szCs w:val="32"/>
          <w:highlight w:val="none"/>
          <w:u w:val="none"/>
          <w:lang w:val="en-US" w:eastAsia="zh-CN"/>
        </w:rPr>
        <w:t>进一步细化记分的结果应用。规定</w:t>
      </w:r>
      <w:r>
        <w:rPr>
          <w:rFonts w:hint="eastAsia" w:ascii="Times New Roman" w:hAnsi="Times New Roman" w:eastAsia="仿宋_GB2312" w:cs="Times New Roman"/>
          <w:color w:val="auto"/>
          <w:sz w:val="32"/>
          <w:szCs w:val="32"/>
          <w:highlight w:val="none"/>
          <w:u w:val="none"/>
          <w:lang w:val="en-US" w:eastAsia="zh-CN"/>
        </w:rPr>
        <w:t>相关人员</w:t>
      </w:r>
      <w:r>
        <w:rPr>
          <w:rFonts w:hint="eastAsia" w:ascii="Times New Roman" w:hAnsi="Times New Roman" w:eastAsia="仿宋_GB2312" w:cs="Times New Roman"/>
          <w:b w:val="0"/>
          <w:bCs w:val="0"/>
          <w:color w:val="auto"/>
          <w:sz w:val="32"/>
          <w:szCs w:val="32"/>
          <w:highlight w:val="none"/>
          <w:u w:val="none"/>
          <w:lang w:val="en-US" w:eastAsia="zh-CN"/>
        </w:rPr>
        <w:t>在</w:t>
      </w:r>
      <w:r>
        <w:rPr>
          <w:rFonts w:hint="default" w:ascii="Times New Roman" w:hAnsi="Times New Roman" w:eastAsia="仿宋_GB2312" w:cs="Times New Roman"/>
          <w:color w:val="auto"/>
          <w:sz w:val="32"/>
          <w:szCs w:val="32"/>
          <w:highlight w:val="none"/>
          <w:u w:val="none"/>
          <w:lang w:val="en-US" w:eastAsia="zh-CN"/>
        </w:rPr>
        <w:t>一个自然年度内</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累计达到</w:t>
      </w:r>
      <w:r>
        <w:rPr>
          <w:rFonts w:hint="eastAsia" w:ascii="Times New Roman" w:hAnsi="Times New Roman" w:eastAsia="仿宋_GB2312" w:cs="Times New Roman"/>
          <w:color w:val="auto"/>
          <w:sz w:val="32"/>
          <w:szCs w:val="32"/>
          <w:highlight w:val="none"/>
          <w:u w:val="none"/>
          <w:lang w:val="en-US" w:eastAsia="zh-CN"/>
        </w:rPr>
        <w:t>以下记分的处理措施：</w:t>
      </w:r>
      <w:r>
        <w:rPr>
          <w:rFonts w:hint="eastAsia" w:ascii="黑体" w:hAnsi="黑体" w:eastAsia="黑体" w:cs="黑体"/>
          <w:color w:val="auto"/>
          <w:sz w:val="32"/>
          <w:szCs w:val="32"/>
          <w:highlight w:val="none"/>
          <w:u w:val="none"/>
          <w:lang w:val="en-US" w:eastAsia="zh-CN"/>
        </w:rPr>
        <w:t>一是</w:t>
      </w:r>
      <w:r>
        <w:rPr>
          <w:rFonts w:hint="default" w:ascii="Times New Roman" w:hAnsi="Times New Roman" w:eastAsia="仿宋_GB2312" w:cs="Times New Roman"/>
          <w:color w:val="auto"/>
          <w:sz w:val="32"/>
          <w:szCs w:val="32"/>
          <w:highlight w:val="none"/>
          <w:u w:val="none"/>
          <w:lang w:val="en-US" w:eastAsia="zh-CN"/>
        </w:rPr>
        <w:t>3</w:t>
      </w:r>
      <w:r>
        <w:rPr>
          <w:rFonts w:hint="default" w:ascii="Times New Roman" w:hAnsi="Times New Roman" w:eastAsia="仿宋_GB2312" w:cs="Times New Roman"/>
          <w:color w:val="auto"/>
          <w:sz w:val="32"/>
          <w:szCs w:val="32"/>
          <w:highlight w:val="none"/>
          <w:u w:val="none"/>
          <w:lang w:val="en" w:eastAsia="zh-CN"/>
        </w:rPr>
        <w:t>-5</w:t>
      </w:r>
      <w:r>
        <w:rPr>
          <w:rFonts w:hint="default" w:ascii="Times New Roman" w:hAnsi="Times New Roman" w:eastAsia="仿宋_GB2312" w:cs="Times New Roman"/>
          <w:color w:val="auto"/>
          <w:sz w:val="32"/>
          <w:szCs w:val="32"/>
          <w:highlight w:val="none"/>
          <w:u w:val="none"/>
          <w:lang w:val="en-US" w:eastAsia="zh-CN"/>
        </w:rPr>
        <w:t>分，由定点医药机构</w:t>
      </w:r>
      <w:r>
        <w:rPr>
          <w:rFonts w:hint="eastAsia" w:ascii="Times New Roman" w:hAnsi="Times New Roman" w:eastAsia="仿宋_GB2312" w:cs="Times New Roman"/>
          <w:color w:val="auto"/>
          <w:sz w:val="32"/>
          <w:szCs w:val="32"/>
          <w:highlight w:val="none"/>
          <w:u w:val="none"/>
          <w:lang w:val="en-US" w:eastAsia="zh-CN"/>
        </w:rPr>
        <w:t>对其</w:t>
      </w:r>
      <w:r>
        <w:rPr>
          <w:rFonts w:hint="default" w:ascii="Times New Roman" w:hAnsi="Times New Roman" w:eastAsia="仿宋_GB2312" w:cs="Times New Roman"/>
          <w:color w:val="auto"/>
          <w:sz w:val="32"/>
          <w:szCs w:val="32"/>
          <w:highlight w:val="none"/>
          <w:u w:val="none"/>
          <w:lang w:val="en-US" w:eastAsia="zh-CN"/>
        </w:rPr>
        <w:t>谈话提醒</w:t>
      </w:r>
      <w:r>
        <w:rPr>
          <w:rFonts w:hint="eastAsia" w:ascii="Times New Roman" w:hAnsi="Times New Roman" w:eastAsia="仿宋_GB2312" w:cs="Times New Roman"/>
          <w:color w:val="auto"/>
          <w:sz w:val="32"/>
          <w:szCs w:val="32"/>
          <w:highlight w:val="none"/>
          <w:u w:val="none"/>
          <w:lang w:val="en-US" w:eastAsia="zh-CN"/>
        </w:rPr>
        <w:t>、政策</w:t>
      </w:r>
      <w:r>
        <w:rPr>
          <w:rFonts w:hint="default" w:ascii="Times New Roman" w:hAnsi="Times New Roman" w:eastAsia="仿宋_GB2312" w:cs="Times New Roman"/>
          <w:color w:val="auto"/>
          <w:sz w:val="32"/>
          <w:szCs w:val="32"/>
          <w:highlight w:val="none"/>
          <w:u w:val="none"/>
          <w:lang w:val="en-US" w:eastAsia="zh-CN"/>
        </w:rPr>
        <w:t>培训</w:t>
      </w:r>
      <w:r>
        <w:rPr>
          <w:rFonts w:hint="eastAsia" w:ascii="Times New Roman" w:hAnsi="Times New Roman" w:eastAsia="仿宋_GB2312" w:cs="Times New Roman"/>
          <w:color w:val="auto"/>
          <w:sz w:val="32"/>
          <w:szCs w:val="32"/>
          <w:highlight w:val="none"/>
          <w:u w:val="none"/>
          <w:lang w:val="en-US" w:eastAsia="zh-CN"/>
        </w:rPr>
        <w:t>。</w:t>
      </w:r>
      <w:r>
        <w:rPr>
          <w:rFonts w:hint="eastAsia" w:ascii="黑体" w:hAnsi="黑体" w:eastAsia="黑体" w:cs="黑体"/>
          <w:color w:val="auto"/>
          <w:sz w:val="32"/>
          <w:szCs w:val="32"/>
          <w:highlight w:val="none"/>
          <w:u w:val="none"/>
          <w:lang w:val="en-US" w:eastAsia="zh-CN"/>
        </w:rPr>
        <w:t>二是</w:t>
      </w:r>
      <w:r>
        <w:rPr>
          <w:rFonts w:hint="default" w:ascii="Times New Roman" w:hAnsi="Times New Roman" w:eastAsia="仿宋_GB2312" w:cs="Times New Roman"/>
          <w:color w:val="auto"/>
          <w:sz w:val="32"/>
          <w:szCs w:val="32"/>
          <w:highlight w:val="none"/>
          <w:u w:val="none"/>
          <w:lang w:val="en-US" w:eastAsia="zh-CN"/>
        </w:rPr>
        <w:t>6</w:t>
      </w:r>
      <w:r>
        <w:rPr>
          <w:rFonts w:hint="default" w:ascii="Times New Roman" w:hAnsi="Times New Roman" w:eastAsia="仿宋_GB2312" w:cs="Times New Roman"/>
          <w:color w:val="auto"/>
          <w:sz w:val="32"/>
          <w:szCs w:val="32"/>
          <w:highlight w:val="none"/>
          <w:u w:val="none"/>
          <w:lang w:val="en" w:eastAsia="zh-CN"/>
        </w:rPr>
        <w:t>-8</w:t>
      </w:r>
      <w:r>
        <w:rPr>
          <w:rFonts w:hint="default" w:ascii="Times New Roman" w:hAnsi="Times New Roman" w:eastAsia="仿宋_GB2312" w:cs="Times New Roman"/>
          <w:color w:val="auto"/>
          <w:sz w:val="32"/>
          <w:szCs w:val="32"/>
          <w:highlight w:val="none"/>
          <w:u w:val="none"/>
          <w:lang w:val="en-US" w:eastAsia="zh-CN"/>
        </w:rPr>
        <w:t>分，由医保经办机构</w:t>
      </w:r>
      <w:r>
        <w:rPr>
          <w:rFonts w:hint="eastAsia" w:ascii="Times New Roman" w:hAnsi="Times New Roman" w:eastAsia="仿宋_GB2312" w:cs="Times New Roman"/>
          <w:color w:val="auto"/>
          <w:sz w:val="32"/>
          <w:szCs w:val="32"/>
          <w:highlight w:val="none"/>
          <w:u w:val="none"/>
          <w:lang w:val="en-US" w:eastAsia="zh-CN"/>
        </w:rPr>
        <w:t>对其</w:t>
      </w:r>
      <w:r>
        <w:rPr>
          <w:rFonts w:hint="default" w:ascii="Times New Roman" w:hAnsi="Times New Roman" w:eastAsia="仿宋_GB2312" w:cs="Times New Roman"/>
          <w:color w:val="auto"/>
          <w:sz w:val="32"/>
          <w:szCs w:val="32"/>
          <w:highlight w:val="none"/>
          <w:u w:val="none"/>
          <w:lang w:val="en-US" w:eastAsia="zh-CN"/>
        </w:rPr>
        <w:t>谈话提醒</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由定点医药机构</w:t>
      </w:r>
      <w:r>
        <w:rPr>
          <w:rFonts w:hint="eastAsia" w:ascii="Times New Roman" w:hAnsi="Times New Roman" w:eastAsia="仿宋_GB2312" w:cs="Times New Roman"/>
          <w:color w:val="auto"/>
          <w:sz w:val="32"/>
          <w:szCs w:val="32"/>
          <w:highlight w:val="none"/>
          <w:u w:val="none"/>
          <w:lang w:val="en-US" w:eastAsia="zh-CN"/>
        </w:rPr>
        <w:t>对其进行政策</w:t>
      </w:r>
      <w:r>
        <w:rPr>
          <w:rFonts w:hint="default" w:ascii="Times New Roman" w:hAnsi="Times New Roman" w:eastAsia="仿宋_GB2312" w:cs="Times New Roman"/>
          <w:color w:val="auto"/>
          <w:sz w:val="32"/>
          <w:szCs w:val="32"/>
          <w:highlight w:val="none"/>
          <w:u w:val="none"/>
          <w:lang w:val="en-US" w:eastAsia="zh-CN"/>
        </w:rPr>
        <w:t>培训</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内部通报</w:t>
      </w:r>
      <w:r>
        <w:rPr>
          <w:rFonts w:hint="eastAsia" w:ascii="Times New Roman" w:hAnsi="Times New Roman" w:eastAsia="仿宋_GB2312" w:cs="Times New Roman"/>
          <w:color w:val="auto"/>
          <w:sz w:val="32"/>
          <w:szCs w:val="32"/>
          <w:highlight w:val="none"/>
          <w:u w:val="none"/>
          <w:lang w:val="en-US" w:eastAsia="zh-CN"/>
        </w:rPr>
        <w:t>。</w:t>
      </w:r>
      <w:r>
        <w:rPr>
          <w:rFonts w:hint="eastAsia" w:ascii="黑体" w:hAnsi="黑体" w:eastAsia="黑体" w:cs="黑体"/>
          <w:color w:val="auto"/>
          <w:sz w:val="32"/>
          <w:szCs w:val="32"/>
          <w:highlight w:val="none"/>
          <w:u w:val="none"/>
          <w:lang w:val="en-US" w:eastAsia="zh-CN"/>
        </w:rPr>
        <w:t>三是</w:t>
      </w:r>
      <w:r>
        <w:rPr>
          <w:rFonts w:hint="default" w:ascii="Times New Roman" w:hAnsi="Times New Roman" w:eastAsia="仿宋_GB2312" w:cs="Times New Roman"/>
          <w:color w:val="auto"/>
          <w:sz w:val="32"/>
          <w:szCs w:val="32"/>
          <w:highlight w:val="none"/>
          <w:u w:val="none"/>
          <w:lang w:val="en-US" w:eastAsia="zh-CN"/>
        </w:rPr>
        <w:t>9</w:t>
      </w:r>
      <w:r>
        <w:rPr>
          <w:rFonts w:hint="eastAsia" w:ascii="Times New Roman" w:hAnsi="Times New Roman" w:eastAsia="仿宋_GB2312" w:cs="Times New Roman"/>
          <w:color w:val="auto"/>
          <w:sz w:val="32"/>
          <w:szCs w:val="32"/>
          <w:highlight w:val="none"/>
          <w:u w:val="none"/>
          <w:lang w:val="en-US" w:eastAsia="zh-CN"/>
        </w:rPr>
        <w:t>-11分，</w:t>
      </w:r>
      <w:r>
        <w:rPr>
          <w:rFonts w:hint="default" w:ascii="Times New Roman" w:hAnsi="Times New Roman" w:eastAsia="仿宋_GB2312" w:cs="Times New Roman"/>
          <w:color w:val="auto"/>
          <w:sz w:val="32"/>
          <w:szCs w:val="32"/>
          <w:highlight w:val="none"/>
          <w:u w:val="none"/>
          <w:lang w:val="en-US" w:eastAsia="zh-CN"/>
        </w:rPr>
        <w:t>暂停医保支付资格1</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6个月，由医保经办机构对</w:t>
      </w:r>
      <w:r>
        <w:rPr>
          <w:rFonts w:hint="eastAsia" w:ascii="Times New Roman" w:hAnsi="Times New Roman" w:eastAsia="仿宋_GB2312" w:cs="Times New Roman"/>
          <w:color w:val="auto"/>
          <w:sz w:val="32"/>
          <w:szCs w:val="32"/>
          <w:highlight w:val="none"/>
          <w:u w:val="none"/>
          <w:lang w:val="en-US" w:eastAsia="zh-CN"/>
        </w:rPr>
        <w:t>相关人员及所在机构或部门（科室）负责人</w:t>
      </w:r>
      <w:r>
        <w:rPr>
          <w:rFonts w:hint="default" w:ascii="Times New Roman" w:hAnsi="Times New Roman" w:eastAsia="仿宋_GB2312" w:cs="Times New Roman"/>
          <w:color w:val="auto"/>
          <w:sz w:val="32"/>
          <w:szCs w:val="32"/>
          <w:highlight w:val="none"/>
          <w:u w:val="none"/>
          <w:lang w:val="en-US" w:eastAsia="zh-CN"/>
        </w:rPr>
        <w:t>谈话提醒</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由定点医药机构</w:t>
      </w:r>
      <w:r>
        <w:rPr>
          <w:rFonts w:hint="eastAsia" w:ascii="Times New Roman" w:hAnsi="Times New Roman" w:eastAsia="仿宋_GB2312" w:cs="Times New Roman"/>
          <w:color w:val="auto"/>
          <w:sz w:val="32"/>
          <w:szCs w:val="32"/>
          <w:highlight w:val="none"/>
          <w:u w:val="none"/>
          <w:lang w:val="en-US" w:eastAsia="zh-CN"/>
        </w:rPr>
        <w:t>对其进行</w:t>
      </w:r>
      <w:r>
        <w:rPr>
          <w:rFonts w:hint="default" w:ascii="Times New Roman" w:hAnsi="Times New Roman" w:eastAsia="仿宋_GB2312" w:cs="Times New Roman"/>
          <w:color w:val="auto"/>
          <w:sz w:val="32"/>
          <w:szCs w:val="32"/>
          <w:highlight w:val="none"/>
          <w:u w:val="none"/>
          <w:lang w:val="en-US" w:eastAsia="zh-CN"/>
        </w:rPr>
        <w:t>政策培训</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内部通报。</w:t>
      </w:r>
      <w:r>
        <w:rPr>
          <w:rFonts w:hint="eastAsia" w:ascii="黑体" w:hAnsi="黑体" w:eastAsia="黑体" w:cs="黑体"/>
          <w:color w:val="auto"/>
          <w:sz w:val="32"/>
          <w:szCs w:val="32"/>
          <w:highlight w:val="none"/>
          <w:u w:val="none"/>
          <w:lang w:val="en-US" w:eastAsia="zh-CN"/>
        </w:rPr>
        <w:t>四是</w:t>
      </w:r>
      <w:r>
        <w:rPr>
          <w:rFonts w:hint="default" w:ascii="Times New Roman" w:hAnsi="Times New Roman" w:eastAsia="仿宋_GB2312" w:cs="Times New Roman"/>
          <w:color w:val="auto"/>
          <w:sz w:val="32"/>
          <w:szCs w:val="32"/>
          <w:highlight w:val="none"/>
          <w:u w:val="none"/>
          <w:lang w:val="en-US" w:eastAsia="zh-CN"/>
        </w:rPr>
        <w:t>12分，终止医保支付资格。其中，累计记满12分的，1年内不得再次登记备案；一次性记满12分的，3年内不得再次登记备案。由医保经办机构对</w:t>
      </w:r>
      <w:r>
        <w:rPr>
          <w:rFonts w:hint="eastAsia" w:ascii="Times New Roman" w:hAnsi="Times New Roman" w:eastAsia="仿宋_GB2312" w:cs="Times New Roman"/>
          <w:color w:val="auto"/>
          <w:sz w:val="32"/>
          <w:szCs w:val="32"/>
          <w:highlight w:val="none"/>
          <w:u w:val="none"/>
          <w:lang w:val="en-US" w:eastAsia="zh-CN"/>
        </w:rPr>
        <w:t>相关人员及所在机构或部门（科室）负责人</w:t>
      </w:r>
      <w:r>
        <w:rPr>
          <w:rFonts w:hint="default" w:ascii="Times New Roman" w:hAnsi="Times New Roman" w:eastAsia="仿宋_GB2312" w:cs="Times New Roman"/>
          <w:color w:val="auto"/>
          <w:sz w:val="32"/>
          <w:szCs w:val="32"/>
          <w:highlight w:val="none"/>
          <w:u w:val="none"/>
          <w:lang w:val="en-US" w:eastAsia="zh-CN"/>
        </w:rPr>
        <w:t>谈话提醒</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由定点医药机构</w:t>
      </w:r>
      <w:r>
        <w:rPr>
          <w:rFonts w:hint="eastAsia" w:ascii="Times New Roman" w:hAnsi="Times New Roman" w:eastAsia="仿宋_GB2312" w:cs="Times New Roman"/>
          <w:color w:val="auto"/>
          <w:sz w:val="32"/>
          <w:szCs w:val="32"/>
          <w:highlight w:val="none"/>
          <w:u w:val="none"/>
          <w:lang w:val="en-US" w:eastAsia="zh-CN"/>
        </w:rPr>
        <w:t>对其进行</w:t>
      </w:r>
      <w:r>
        <w:rPr>
          <w:rFonts w:hint="default" w:ascii="Times New Roman" w:hAnsi="Times New Roman" w:eastAsia="仿宋_GB2312" w:cs="Times New Roman"/>
          <w:color w:val="auto"/>
          <w:sz w:val="32"/>
          <w:szCs w:val="32"/>
          <w:highlight w:val="none"/>
          <w:u w:val="none"/>
          <w:lang w:val="en-US" w:eastAsia="zh-CN"/>
        </w:rPr>
        <w:t>政策培训</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内部通报。</w:t>
      </w:r>
    </w:p>
    <w:p>
      <w:pPr>
        <w:pBdr>
          <w:top w:val="none" w:color="auto" w:sz="0" w:space="1"/>
          <w:left w:val="none" w:color="auto" w:sz="0" w:space="4"/>
          <w:bottom w:val="none" w:color="auto" w:sz="0" w:space="1"/>
          <w:right w:val="none" w:color="auto" w:sz="0" w:space="4"/>
          <w:between w:val="none" w:color="auto" w:sz="0" w:space="0"/>
        </w:pBdr>
        <w:autoSpaceDE w:val="0"/>
        <w:spacing w:line="560" w:lineRule="exact"/>
        <w:ind w:firstLine="640" w:firstLineChars="200"/>
        <w:outlineLvl w:val="9"/>
        <w:rPr>
          <w:rFonts w:hint="default" w:ascii="黑体" w:hAnsi="黑体" w:eastAsia="黑体" w:cs="黑体"/>
          <w:sz w:val="32"/>
          <w:szCs w:val="32"/>
          <w:lang w:val="en-US" w:eastAsia="zh-CN"/>
        </w:rPr>
      </w:pPr>
      <w:r>
        <w:rPr>
          <w:rFonts w:hint="default" w:ascii="Times New Roman" w:hAnsi="Times New Roman" w:eastAsia="楷体_GB2312" w:cs="Times New Roman"/>
          <w:b w:val="0"/>
          <w:bCs w:val="0"/>
          <w:color w:val="auto"/>
          <w:kern w:val="0"/>
          <w:sz w:val="32"/>
          <w:szCs w:val="32"/>
          <w:highlight w:val="none"/>
          <w:lang w:val="en-US" w:eastAsia="zh-CN" w:bidi="ar"/>
        </w:rPr>
        <w:t>（</w:t>
      </w:r>
      <w:r>
        <w:rPr>
          <w:rFonts w:hint="eastAsia" w:ascii="Times New Roman" w:hAnsi="Times New Roman" w:eastAsia="楷体_GB2312" w:cs="Times New Roman"/>
          <w:b w:val="0"/>
          <w:bCs w:val="0"/>
          <w:color w:val="auto"/>
          <w:kern w:val="0"/>
          <w:sz w:val="32"/>
          <w:szCs w:val="32"/>
          <w:highlight w:val="none"/>
          <w:lang w:val="en-US" w:eastAsia="zh-CN" w:bidi="ar"/>
        </w:rPr>
        <w:t>五</w:t>
      </w:r>
      <w:r>
        <w:rPr>
          <w:rFonts w:hint="default" w:ascii="Times New Roman" w:hAnsi="Times New Roman" w:eastAsia="楷体_GB2312" w:cs="Times New Roman"/>
          <w:b w:val="0"/>
          <w:bCs w:val="0"/>
          <w:color w:val="auto"/>
          <w:kern w:val="0"/>
          <w:sz w:val="32"/>
          <w:szCs w:val="32"/>
          <w:highlight w:val="none"/>
          <w:lang w:val="en-US" w:eastAsia="zh-CN" w:bidi="ar"/>
        </w:rPr>
        <w:t>）</w:t>
      </w:r>
      <w:r>
        <w:rPr>
          <w:rFonts w:hint="eastAsia" w:ascii="Times New Roman" w:hAnsi="Times New Roman" w:eastAsia="楷体_GB2312" w:cs="Times New Roman"/>
          <w:b w:val="0"/>
          <w:bCs w:val="0"/>
          <w:color w:val="auto"/>
          <w:kern w:val="0"/>
          <w:sz w:val="32"/>
          <w:szCs w:val="32"/>
          <w:highlight w:val="none"/>
          <w:lang w:val="en-US" w:eastAsia="zh-CN" w:bidi="ar"/>
        </w:rPr>
        <w:t>关于记分修复机制。</w:t>
      </w:r>
      <w:r>
        <w:rPr>
          <w:rFonts w:hint="eastAsia" w:ascii="Times New Roman" w:hAnsi="Times New Roman" w:eastAsia="仿宋_GB2312" w:cs="Times New Roman"/>
          <w:color w:val="auto"/>
          <w:sz w:val="32"/>
          <w:szCs w:val="32"/>
          <w:highlight w:val="none"/>
          <w:u w:val="none"/>
          <w:lang w:val="en-US" w:eastAsia="zh-CN"/>
        </w:rPr>
        <w:t>为鼓励相关人员积极参与医保管理，修复记分恢复正常状态，第二十五条在《指导意见》的基础上，</w:t>
      </w:r>
      <w:r>
        <w:rPr>
          <w:rFonts w:hint="eastAsia" w:ascii="Times New Roman" w:hAnsi="Times New Roman" w:eastAsia="仿宋_GB2312" w:cs="Times New Roman"/>
          <w:b w:val="0"/>
          <w:bCs w:val="0"/>
          <w:color w:val="auto"/>
          <w:sz w:val="32"/>
          <w:szCs w:val="32"/>
          <w:highlight w:val="none"/>
          <w:u w:val="none"/>
          <w:lang w:val="en-US" w:eastAsia="zh-CN"/>
        </w:rPr>
        <w:t>进一步细化记分修复的举措，包括参加</w:t>
      </w:r>
      <w:r>
        <w:rPr>
          <w:rFonts w:hint="eastAsia" w:ascii="Times New Roman" w:hAnsi="Times New Roman" w:eastAsia="仿宋_GB2312" w:cs="Times New Roman"/>
          <w:color w:val="auto"/>
          <w:sz w:val="32"/>
          <w:szCs w:val="32"/>
          <w:highlight w:val="none"/>
          <w:u w:val="none"/>
          <w:lang w:val="en-US" w:eastAsia="zh-CN"/>
        </w:rPr>
        <w:t>医保部门</w:t>
      </w:r>
      <w:r>
        <w:rPr>
          <w:rFonts w:hint="default" w:ascii="Times New Roman" w:hAnsi="Times New Roman" w:eastAsia="仿宋_GB2312" w:cs="Times New Roman"/>
          <w:color w:val="auto"/>
          <w:sz w:val="32"/>
          <w:szCs w:val="32"/>
          <w:highlight w:val="none"/>
          <w:u w:val="none"/>
          <w:lang w:val="en-US" w:eastAsia="zh-CN"/>
        </w:rPr>
        <w:t>组织的</w:t>
      </w:r>
      <w:r>
        <w:rPr>
          <w:rFonts w:hint="eastAsia" w:ascii="Times New Roman" w:hAnsi="Times New Roman" w:eastAsia="仿宋_GB2312" w:cs="Times New Roman"/>
          <w:color w:val="auto"/>
          <w:sz w:val="32"/>
          <w:szCs w:val="32"/>
          <w:highlight w:val="none"/>
          <w:u w:val="none"/>
          <w:lang w:val="en-US" w:eastAsia="zh-CN"/>
        </w:rPr>
        <w:t>政策法规学习、政策</w:t>
      </w:r>
      <w:r>
        <w:rPr>
          <w:rFonts w:hint="default" w:ascii="Times New Roman" w:hAnsi="Times New Roman" w:eastAsia="仿宋_GB2312" w:cs="Times New Roman"/>
          <w:color w:val="auto"/>
          <w:sz w:val="32"/>
          <w:szCs w:val="32"/>
          <w:highlight w:val="none"/>
          <w:u w:val="none"/>
          <w:lang w:val="en-US" w:eastAsia="zh-CN"/>
        </w:rPr>
        <w:t>宣传活动</w:t>
      </w:r>
      <w:r>
        <w:rPr>
          <w:rFonts w:hint="eastAsia" w:ascii="Times New Roman" w:hAnsi="Times New Roman" w:eastAsia="仿宋_GB2312" w:cs="Times New Roman"/>
          <w:color w:val="auto"/>
          <w:sz w:val="32"/>
          <w:szCs w:val="32"/>
          <w:highlight w:val="none"/>
          <w:u w:val="none"/>
          <w:lang w:val="en-US" w:eastAsia="zh-CN"/>
        </w:rPr>
        <w:t>、</w:t>
      </w:r>
      <w:r>
        <w:rPr>
          <w:rFonts w:hint="default" w:ascii="Times New Roman" w:hAnsi="Times New Roman" w:eastAsia="仿宋_GB2312" w:cs="Times New Roman"/>
          <w:color w:val="auto"/>
          <w:sz w:val="32"/>
          <w:szCs w:val="32"/>
          <w:highlight w:val="none"/>
          <w:u w:val="none"/>
          <w:lang w:val="en-US" w:eastAsia="zh-CN"/>
        </w:rPr>
        <w:t>公益活动</w:t>
      </w:r>
      <w:r>
        <w:rPr>
          <w:rFonts w:hint="eastAsia" w:ascii="Times New Roman" w:hAnsi="Times New Roman" w:eastAsia="仿宋_GB2312" w:cs="Times New Roman"/>
          <w:color w:val="auto"/>
          <w:sz w:val="32"/>
          <w:szCs w:val="32"/>
          <w:highlight w:val="none"/>
          <w:u w:val="none"/>
          <w:lang w:val="en-US" w:eastAsia="zh-CN"/>
        </w:rPr>
        <w:t>、主动举报其他医保违规行为并查实等，并明确</w:t>
      </w:r>
      <w:r>
        <w:rPr>
          <w:rFonts w:hint="default" w:ascii="Times New Roman" w:hAnsi="Times New Roman" w:eastAsia="仿宋_GB2312" w:cs="Times New Roman"/>
          <w:color w:val="auto"/>
          <w:sz w:val="32"/>
          <w:szCs w:val="32"/>
          <w:highlight w:val="none"/>
          <w:u w:val="none"/>
          <w:lang w:val="en-US" w:eastAsia="zh-CN"/>
        </w:rPr>
        <w:t>一次记满12分的不予修复。</w:t>
      </w:r>
    </w:p>
    <w:sectPr>
      <w:pgSz w:w="11906" w:h="16838"/>
      <w:pgMar w:top="2098" w:right="1587" w:bottom="2098" w:left="1587" w:header="851" w:footer="992" w:gutter="0"/>
      <w:pgBorders>
        <w:top w:val="none" w:sz="0" w:space="0"/>
        <w:left w:val="none" w:sz="0" w:space="0"/>
        <w:bottom w:val="none" w:sz="0" w:space="0"/>
        <w:right w:val="none" w:sz="0" w:space="0"/>
      </w:pgBorders>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00007A87" w:usb1="80000000" w:usb2="00000008"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altName w:val="汉仪中等线B5"/>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汉仪中等线B5"/>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仿宋简体">
    <w:altName w:val="方正仿宋_GBK"/>
    <w:panose1 w:val="02010601030101010101"/>
    <w:charset w:val="86"/>
    <w:family w:val="auto"/>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Nimbus Roman">
    <w:panose1 w:val="00000500000000000000"/>
    <w:charset w:val="00"/>
    <w:family w:val="auto"/>
    <w:pitch w:val="default"/>
    <w:sig w:usb0="00000287" w:usb1="00000800" w:usb2="00000000" w:usb3="00000000" w:csb0="6000009F" w:csb1="00000000"/>
  </w:font>
  <w:font w:name="CESI楷体-GB13000">
    <w:panose1 w:val="02000500000000000000"/>
    <w:charset w:val="86"/>
    <w:family w:val="auto"/>
    <w:pitch w:val="default"/>
    <w:sig w:usb0="800002BF" w:usb1="38CF7CF8" w:usb2="00000016" w:usb3="00000000" w:csb0="0004000F" w:csb1="00000000"/>
  </w:font>
  <w:font w:name="楷体_GB2312">
    <w:panose1 w:val="02010609030101010101"/>
    <w:charset w:val="86"/>
    <w:family w:val="auto"/>
    <w:pitch w:val="default"/>
    <w:sig w:usb0="00000001" w:usb1="080E0000" w:usb2="00000000" w:usb3="00000000" w:csb0="00040000" w:csb1="00000000"/>
  </w:font>
  <w:font w:name="CESI仿宋-GB2312">
    <w:panose1 w:val="02000500000000000000"/>
    <w:charset w:val="86"/>
    <w:family w:val="auto"/>
    <w:pitch w:val="default"/>
    <w:sig w:usb0="800002AF" w:usb1="084F6CF8" w:usb2="00000010" w:usb3="00000000" w:csb0="0004000F" w:csb1="00000000"/>
  </w:font>
  <w:font w:name="汉仪中等线B5">
    <w:panose1 w:val="0101010401010101010B"/>
    <w:charset w:val="86"/>
    <w:family w:val="auto"/>
    <w:pitch w:val="default"/>
    <w:sig w:usb0="800000A3" w:usb1="00497878" w:usb2="00000000"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3D11"/>
    <w:rsid w:val="00041849"/>
    <w:rsid w:val="000673A4"/>
    <w:rsid w:val="000A59A3"/>
    <w:rsid w:val="000D2614"/>
    <w:rsid w:val="000E3574"/>
    <w:rsid w:val="000F17EC"/>
    <w:rsid w:val="00115BE2"/>
    <w:rsid w:val="00145641"/>
    <w:rsid w:val="00165F11"/>
    <w:rsid w:val="001860F3"/>
    <w:rsid w:val="001F4498"/>
    <w:rsid w:val="00214899"/>
    <w:rsid w:val="00214B00"/>
    <w:rsid w:val="002345E4"/>
    <w:rsid w:val="00263BB5"/>
    <w:rsid w:val="002C4AD1"/>
    <w:rsid w:val="002F7730"/>
    <w:rsid w:val="00382223"/>
    <w:rsid w:val="003B5835"/>
    <w:rsid w:val="003E1B83"/>
    <w:rsid w:val="003F45BC"/>
    <w:rsid w:val="0040448F"/>
    <w:rsid w:val="00435C99"/>
    <w:rsid w:val="00472C59"/>
    <w:rsid w:val="004D7B05"/>
    <w:rsid w:val="00500915"/>
    <w:rsid w:val="00543693"/>
    <w:rsid w:val="00553509"/>
    <w:rsid w:val="005B2702"/>
    <w:rsid w:val="005D7A09"/>
    <w:rsid w:val="00604F34"/>
    <w:rsid w:val="0061019F"/>
    <w:rsid w:val="00632A4A"/>
    <w:rsid w:val="006338D6"/>
    <w:rsid w:val="00672170"/>
    <w:rsid w:val="00690F27"/>
    <w:rsid w:val="006A7146"/>
    <w:rsid w:val="00702CF0"/>
    <w:rsid w:val="007107F3"/>
    <w:rsid w:val="00716F31"/>
    <w:rsid w:val="007257CA"/>
    <w:rsid w:val="00760FA9"/>
    <w:rsid w:val="00771A02"/>
    <w:rsid w:val="00794DD8"/>
    <w:rsid w:val="007A3C7C"/>
    <w:rsid w:val="007B11F4"/>
    <w:rsid w:val="007F289D"/>
    <w:rsid w:val="00804096"/>
    <w:rsid w:val="00806647"/>
    <w:rsid w:val="00811410"/>
    <w:rsid w:val="0085383A"/>
    <w:rsid w:val="00853CCD"/>
    <w:rsid w:val="0086220D"/>
    <w:rsid w:val="0089688D"/>
    <w:rsid w:val="008A0B5A"/>
    <w:rsid w:val="008B0EDE"/>
    <w:rsid w:val="00990484"/>
    <w:rsid w:val="009C5A7C"/>
    <w:rsid w:val="00A36260"/>
    <w:rsid w:val="00A46D3A"/>
    <w:rsid w:val="00A50D92"/>
    <w:rsid w:val="00A51482"/>
    <w:rsid w:val="00A871FF"/>
    <w:rsid w:val="00A90908"/>
    <w:rsid w:val="00A964F5"/>
    <w:rsid w:val="00AD6769"/>
    <w:rsid w:val="00B61683"/>
    <w:rsid w:val="00B62F83"/>
    <w:rsid w:val="00B6318C"/>
    <w:rsid w:val="00B77D7C"/>
    <w:rsid w:val="00BA0185"/>
    <w:rsid w:val="00C552A8"/>
    <w:rsid w:val="00C71700"/>
    <w:rsid w:val="00C80A27"/>
    <w:rsid w:val="00CA0B48"/>
    <w:rsid w:val="00D00A17"/>
    <w:rsid w:val="00D33CF6"/>
    <w:rsid w:val="00D56BF7"/>
    <w:rsid w:val="00D6292A"/>
    <w:rsid w:val="00DB3DFD"/>
    <w:rsid w:val="00DC233B"/>
    <w:rsid w:val="00DC534A"/>
    <w:rsid w:val="00DE27C8"/>
    <w:rsid w:val="00DF261B"/>
    <w:rsid w:val="00DF5776"/>
    <w:rsid w:val="00E22FC3"/>
    <w:rsid w:val="00E26D7B"/>
    <w:rsid w:val="00E35597"/>
    <w:rsid w:val="00E65C61"/>
    <w:rsid w:val="00E94EB2"/>
    <w:rsid w:val="00ED0390"/>
    <w:rsid w:val="00ED0FF0"/>
    <w:rsid w:val="00EE2949"/>
    <w:rsid w:val="00EF4BEE"/>
    <w:rsid w:val="00F02EDE"/>
    <w:rsid w:val="00FC45F1"/>
    <w:rsid w:val="00FF2445"/>
    <w:rsid w:val="00FF43E3"/>
    <w:rsid w:val="010C60AB"/>
    <w:rsid w:val="01173CE7"/>
    <w:rsid w:val="011F6FB1"/>
    <w:rsid w:val="01443B37"/>
    <w:rsid w:val="0153733A"/>
    <w:rsid w:val="0172415C"/>
    <w:rsid w:val="01753F1C"/>
    <w:rsid w:val="018D4253"/>
    <w:rsid w:val="019D7753"/>
    <w:rsid w:val="01AB7DDB"/>
    <w:rsid w:val="01DA615D"/>
    <w:rsid w:val="01E82D76"/>
    <w:rsid w:val="020A1721"/>
    <w:rsid w:val="02142B93"/>
    <w:rsid w:val="02180D2D"/>
    <w:rsid w:val="022616D2"/>
    <w:rsid w:val="0238176F"/>
    <w:rsid w:val="024939C4"/>
    <w:rsid w:val="024E47A0"/>
    <w:rsid w:val="027B7A14"/>
    <w:rsid w:val="028968E8"/>
    <w:rsid w:val="029A34D2"/>
    <w:rsid w:val="02A6773F"/>
    <w:rsid w:val="02AA6544"/>
    <w:rsid w:val="02AE40C2"/>
    <w:rsid w:val="02B95D9E"/>
    <w:rsid w:val="02BD122F"/>
    <w:rsid w:val="02BD1383"/>
    <w:rsid w:val="02CB7752"/>
    <w:rsid w:val="02E5743A"/>
    <w:rsid w:val="02EC307A"/>
    <w:rsid w:val="03135644"/>
    <w:rsid w:val="031772AB"/>
    <w:rsid w:val="03401308"/>
    <w:rsid w:val="03685883"/>
    <w:rsid w:val="037A7479"/>
    <w:rsid w:val="037E2009"/>
    <w:rsid w:val="03A93220"/>
    <w:rsid w:val="03BD520F"/>
    <w:rsid w:val="03C75CA4"/>
    <w:rsid w:val="03CD1959"/>
    <w:rsid w:val="03D065CB"/>
    <w:rsid w:val="03DD7EED"/>
    <w:rsid w:val="03E95D1F"/>
    <w:rsid w:val="03FA3F76"/>
    <w:rsid w:val="04090843"/>
    <w:rsid w:val="040B32D0"/>
    <w:rsid w:val="0416043D"/>
    <w:rsid w:val="041D03B7"/>
    <w:rsid w:val="04271E42"/>
    <w:rsid w:val="042B6E73"/>
    <w:rsid w:val="043B32DD"/>
    <w:rsid w:val="044D3C38"/>
    <w:rsid w:val="046516FB"/>
    <w:rsid w:val="04711F1E"/>
    <w:rsid w:val="04A14A61"/>
    <w:rsid w:val="04DB4ABA"/>
    <w:rsid w:val="04EB3A54"/>
    <w:rsid w:val="04F706AE"/>
    <w:rsid w:val="05081DC6"/>
    <w:rsid w:val="050F7D69"/>
    <w:rsid w:val="05116C3A"/>
    <w:rsid w:val="051221CD"/>
    <w:rsid w:val="05211F48"/>
    <w:rsid w:val="052C1515"/>
    <w:rsid w:val="053E0C18"/>
    <w:rsid w:val="05500DA4"/>
    <w:rsid w:val="055367C9"/>
    <w:rsid w:val="05543903"/>
    <w:rsid w:val="055540E4"/>
    <w:rsid w:val="0581784A"/>
    <w:rsid w:val="058716BF"/>
    <w:rsid w:val="058D0CAC"/>
    <w:rsid w:val="058E2840"/>
    <w:rsid w:val="059A1FB1"/>
    <w:rsid w:val="059A4B84"/>
    <w:rsid w:val="05C1587A"/>
    <w:rsid w:val="05CE79CE"/>
    <w:rsid w:val="05D2102F"/>
    <w:rsid w:val="05DA3CC2"/>
    <w:rsid w:val="05F96527"/>
    <w:rsid w:val="06023A7B"/>
    <w:rsid w:val="06173B33"/>
    <w:rsid w:val="0665203A"/>
    <w:rsid w:val="06652967"/>
    <w:rsid w:val="066C3BC5"/>
    <w:rsid w:val="06772358"/>
    <w:rsid w:val="069E2D79"/>
    <w:rsid w:val="06A41E66"/>
    <w:rsid w:val="06AC72E9"/>
    <w:rsid w:val="06AD6D2D"/>
    <w:rsid w:val="06BF6D61"/>
    <w:rsid w:val="06C44010"/>
    <w:rsid w:val="06DE1761"/>
    <w:rsid w:val="07121A94"/>
    <w:rsid w:val="07122C5B"/>
    <w:rsid w:val="071D312B"/>
    <w:rsid w:val="072E4D80"/>
    <w:rsid w:val="07364746"/>
    <w:rsid w:val="0737439C"/>
    <w:rsid w:val="073E67C7"/>
    <w:rsid w:val="074306D1"/>
    <w:rsid w:val="075036F8"/>
    <w:rsid w:val="07591A18"/>
    <w:rsid w:val="076D64C1"/>
    <w:rsid w:val="07824FB9"/>
    <w:rsid w:val="07895E0A"/>
    <w:rsid w:val="078B223E"/>
    <w:rsid w:val="079B545E"/>
    <w:rsid w:val="079E1AAE"/>
    <w:rsid w:val="07A52F1A"/>
    <w:rsid w:val="07AC6451"/>
    <w:rsid w:val="07B30651"/>
    <w:rsid w:val="07B529A3"/>
    <w:rsid w:val="07D233FD"/>
    <w:rsid w:val="07FD2756"/>
    <w:rsid w:val="081D6327"/>
    <w:rsid w:val="081E6277"/>
    <w:rsid w:val="082C015C"/>
    <w:rsid w:val="08346591"/>
    <w:rsid w:val="0836706F"/>
    <w:rsid w:val="08383D36"/>
    <w:rsid w:val="083B7246"/>
    <w:rsid w:val="08485D13"/>
    <w:rsid w:val="086269D5"/>
    <w:rsid w:val="087D7BC8"/>
    <w:rsid w:val="08842AD1"/>
    <w:rsid w:val="08A2726A"/>
    <w:rsid w:val="08A63D4C"/>
    <w:rsid w:val="08A744A3"/>
    <w:rsid w:val="08AC0621"/>
    <w:rsid w:val="08B84D19"/>
    <w:rsid w:val="08EA7604"/>
    <w:rsid w:val="09394778"/>
    <w:rsid w:val="095370A1"/>
    <w:rsid w:val="095B4615"/>
    <w:rsid w:val="098056B6"/>
    <w:rsid w:val="09A66896"/>
    <w:rsid w:val="09B81501"/>
    <w:rsid w:val="09BB30B3"/>
    <w:rsid w:val="09BB7A0B"/>
    <w:rsid w:val="09CE0CBD"/>
    <w:rsid w:val="09CF2382"/>
    <w:rsid w:val="09D71623"/>
    <w:rsid w:val="09EE097C"/>
    <w:rsid w:val="0A0C0097"/>
    <w:rsid w:val="0A293903"/>
    <w:rsid w:val="0A345463"/>
    <w:rsid w:val="0A4965E2"/>
    <w:rsid w:val="0A4D0202"/>
    <w:rsid w:val="0A5C4357"/>
    <w:rsid w:val="0A71504B"/>
    <w:rsid w:val="0A741225"/>
    <w:rsid w:val="0A8373B1"/>
    <w:rsid w:val="0A9649EF"/>
    <w:rsid w:val="0AC539D8"/>
    <w:rsid w:val="0AD70F33"/>
    <w:rsid w:val="0AD8665E"/>
    <w:rsid w:val="0ADC75EB"/>
    <w:rsid w:val="0AE94818"/>
    <w:rsid w:val="0AF55C8C"/>
    <w:rsid w:val="0B110180"/>
    <w:rsid w:val="0B1A5B2A"/>
    <w:rsid w:val="0B383CB6"/>
    <w:rsid w:val="0B3F315E"/>
    <w:rsid w:val="0B4332F3"/>
    <w:rsid w:val="0B597468"/>
    <w:rsid w:val="0B5E7546"/>
    <w:rsid w:val="0B654CF0"/>
    <w:rsid w:val="0B6B0451"/>
    <w:rsid w:val="0B7D2B42"/>
    <w:rsid w:val="0B922EEC"/>
    <w:rsid w:val="0B9348BE"/>
    <w:rsid w:val="0B95317D"/>
    <w:rsid w:val="0BD04A4E"/>
    <w:rsid w:val="0BE900C2"/>
    <w:rsid w:val="0BEA0303"/>
    <w:rsid w:val="0C000169"/>
    <w:rsid w:val="0C062518"/>
    <w:rsid w:val="0C1B6ADA"/>
    <w:rsid w:val="0C2E3700"/>
    <w:rsid w:val="0C6B386E"/>
    <w:rsid w:val="0C735F9C"/>
    <w:rsid w:val="0C74412F"/>
    <w:rsid w:val="0C8E7DC9"/>
    <w:rsid w:val="0CB279CD"/>
    <w:rsid w:val="0CB66468"/>
    <w:rsid w:val="0CDB2AE7"/>
    <w:rsid w:val="0CED1300"/>
    <w:rsid w:val="0CF01038"/>
    <w:rsid w:val="0CF857AC"/>
    <w:rsid w:val="0CFA3B2E"/>
    <w:rsid w:val="0D0A11B7"/>
    <w:rsid w:val="0D245866"/>
    <w:rsid w:val="0D2933E5"/>
    <w:rsid w:val="0D35125F"/>
    <w:rsid w:val="0D3C5969"/>
    <w:rsid w:val="0D4D5EAF"/>
    <w:rsid w:val="0D711294"/>
    <w:rsid w:val="0D714F12"/>
    <w:rsid w:val="0D7E6528"/>
    <w:rsid w:val="0D827426"/>
    <w:rsid w:val="0DA02E8F"/>
    <w:rsid w:val="0DA61C32"/>
    <w:rsid w:val="0DAA6E3D"/>
    <w:rsid w:val="0DAC274F"/>
    <w:rsid w:val="0DD5262F"/>
    <w:rsid w:val="0DE574E2"/>
    <w:rsid w:val="0DE85C20"/>
    <w:rsid w:val="0E1A2443"/>
    <w:rsid w:val="0E333DFD"/>
    <w:rsid w:val="0E3F04B2"/>
    <w:rsid w:val="0E4F7C71"/>
    <w:rsid w:val="0E51682E"/>
    <w:rsid w:val="0E6B1A69"/>
    <w:rsid w:val="0E736402"/>
    <w:rsid w:val="0E845C4C"/>
    <w:rsid w:val="0E905ABD"/>
    <w:rsid w:val="0E9E40E8"/>
    <w:rsid w:val="0ECC620A"/>
    <w:rsid w:val="0ECE3033"/>
    <w:rsid w:val="0ECF3F23"/>
    <w:rsid w:val="0ED660E8"/>
    <w:rsid w:val="0EE40BBD"/>
    <w:rsid w:val="0EF61840"/>
    <w:rsid w:val="0F1C47EE"/>
    <w:rsid w:val="0F1F5F5F"/>
    <w:rsid w:val="0F387112"/>
    <w:rsid w:val="0F3D9AAB"/>
    <w:rsid w:val="0F473902"/>
    <w:rsid w:val="0F4A2FF0"/>
    <w:rsid w:val="0F4F2664"/>
    <w:rsid w:val="0F634720"/>
    <w:rsid w:val="0F73752B"/>
    <w:rsid w:val="0F7B0029"/>
    <w:rsid w:val="0F7D5568"/>
    <w:rsid w:val="0F81263E"/>
    <w:rsid w:val="0F9E09A2"/>
    <w:rsid w:val="0FAB0087"/>
    <w:rsid w:val="0FAECF3D"/>
    <w:rsid w:val="0FAF5022"/>
    <w:rsid w:val="0FB556CC"/>
    <w:rsid w:val="0FBC5B62"/>
    <w:rsid w:val="0FC42112"/>
    <w:rsid w:val="0FCE352B"/>
    <w:rsid w:val="0FD64490"/>
    <w:rsid w:val="0FDA180F"/>
    <w:rsid w:val="0FE21B4E"/>
    <w:rsid w:val="0FFE7A3E"/>
    <w:rsid w:val="10085009"/>
    <w:rsid w:val="10130591"/>
    <w:rsid w:val="10202156"/>
    <w:rsid w:val="1021285F"/>
    <w:rsid w:val="10343D8E"/>
    <w:rsid w:val="103D5FA7"/>
    <w:rsid w:val="10406373"/>
    <w:rsid w:val="10415BCF"/>
    <w:rsid w:val="105B10BB"/>
    <w:rsid w:val="10637D43"/>
    <w:rsid w:val="10686D69"/>
    <w:rsid w:val="109B4F1E"/>
    <w:rsid w:val="10A6190D"/>
    <w:rsid w:val="10AA1B93"/>
    <w:rsid w:val="10B74CEF"/>
    <w:rsid w:val="10BB35C4"/>
    <w:rsid w:val="10D427B2"/>
    <w:rsid w:val="11024CF5"/>
    <w:rsid w:val="11082539"/>
    <w:rsid w:val="112B7BD8"/>
    <w:rsid w:val="11373D88"/>
    <w:rsid w:val="114E375C"/>
    <w:rsid w:val="11545580"/>
    <w:rsid w:val="11576BB0"/>
    <w:rsid w:val="115D4F75"/>
    <w:rsid w:val="116E2F02"/>
    <w:rsid w:val="11761936"/>
    <w:rsid w:val="11A759A8"/>
    <w:rsid w:val="11B25815"/>
    <w:rsid w:val="11B42841"/>
    <w:rsid w:val="11B51667"/>
    <w:rsid w:val="11CA2B53"/>
    <w:rsid w:val="11DD0866"/>
    <w:rsid w:val="11E33F1E"/>
    <w:rsid w:val="11FD7943"/>
    <w:rsid w:val="12013B49"/>
    <w:rsid w:val="1204403E"/>
    <w:rsid w:val="120B6AF1"/>
    <w:rsid w:val="120F0BDE"/>
    <w:rsid w:val="125012F6"/>
    <w:rsid w:val="125B0573"/>
    <w:rsid w:val="126A5012"/>
    <w:rsid w:val="126F4AE4"/>
    <w:rsid w:val="127A416F"/>
    <w:rsid w:val="129E3B66"/>
    <w:rsid w:val="12D20EAC"/>
    <w:rsid w:val="12D91EEF"/>
    <w:rsid w:val="130B173F"/>
    <w:rsid w:val="13261D72"/>
    <w:rsid w:val="133745ED"/>
    <w:rsid w:val="133C6863"/>
    <w:rsid w:val="133F25B6"/>
    <w:rsid w:val="13557BCE"/>
    <w:rsid w:val="136404C0"/>
    <w:rsid w:val="137428F4"/>
    <w:rsid w:val="138928A0"/>
    <w:rsid w:val="138B2C3A"/>
    <w:rsid w:val="13A633CE"/>
    <w:rsid w:val="13AA0913"/>
    <w:rsid w:val="13BA2DA7"/>
    <w:rsid w:val="13D51C00"/>
    <w:rsid w:val="142570DD"/>
    <w:rsid w:val="14266456"/>
    <w:rsid w:val="142C7C79"/>
    <w:rsid w:val="14300BEB"/>
    <w:rsid w:val="144C7E51"/>
    <w:rsid w:val="14540AD9"/>
    <w:rsid w:val="14613602"/>
    <w:rsid w:val="147B24D7"/>
    <w:rsid w:val="149146B2"/>
    <w:rsid w:val="14A92A34"/>
    <w:rsid w:val="14AE77F9"/>
    <w:rsid w:val="14BA44B6"/>
    <w:rsid w:val="14C04523"/>
    <w:rsid w:val="14D35893"/>
    <w:rsid w:val="14D9194F"/>
    <w:rsid w:val="14DD4FD5"/>
    <w:rsid w:val="14DF5088"/>
    <w:rsid w:val="14E14216"/>
    <w:rsid w:val="14E6502B"/>
    <w:rsid w:val="14FB321B"/>
    <w:rsid w:val="15150EBA"/>
    <w:rsid w:val="153745C2"/>
    <w:rsid w:val="153B79FA"/>
    <w:rsid w:val="153C7C05"/>
    <w:rsid w:val="154632FE"/>
    <w:rsid w:val="15624B58"/>
    <w:rsid w:val="15897942"/>
    <w:rsid w:val="15A03961"/>
    <w:rsid w:val="15A235EF"/>
    <w:rsid w:val="15A67401"/>
    <w:rsid w:val="15C17F18"/>
    <w:rsid w:val="15C9559A"/>
    <w:rsid w:val="15D00A3E"/>
    <w:rsid w:val="15E63088"/>
    <w:rsid w:val="15EF6EFD"/>
    <w:rsid w:val="15F25849"/>
    <w:rsid w:val="16053BE3"/>
    <w:rsid w:val="16112A3B"/>
    <w:rsid w:val="161416D9"/>
    <w:rsid w:val="161C15D2"/>
    <w:rsid w:val="16435CE2"/>
    <w:rsid w:val="166B09F5"/>
    <w:rsid w:val="167F4945"/>
    <w:rsid w:val="16A46A14"/>
    <w:rsid w:val="16AE38F5"/>
    <w:rsid w:val="16DB5CE6"/>
    <w:rsid w:val="16F41880"/>
    <w:rsid w:val="16F93B54"/>
    <w:rsid w:val="16FB5DA7"/>
    <w:rsid w:val="170E1BFE"/>
    <w:rsid w:val="171C7783"/>
    <w:rsid w:val="172019D4"/>
    <w:rsid w:val="17432DEA"/>
    <w:rsid w:val="17495BBC"/>
    <w:rsid w:val="17572E9A"/>
    <w:rsid w:val="17595756"/>
    <w:rsid w:val="17702DEC"/>
    <w:rsid w:val="178B3820"/>
    <w:rsid w:val="1794324F"/>
    <w:rsid w:val="17984F1F"/>
    <w:rsid w:val="17A54F2A"/>
    <w:rsid w:val="17A845F0"/>
    <w:rsid w:val="17BA390A"/>
    <w:rsid w:val="17BC0478"/>
    <w:rsid w:val="17C01310"/>
    <w:rsid w:val="17C9510C"/>
    <w:rsid w:val="181507A7"/>
    <w:rsid w:val="18341668"/>
    <w:rsid w:val="183457C4"/>
    <w:rsid w:val="184C6A8B"/>
    <w:rsid w:val="184D227E"/>
    <w:rsid w:val="1852001F"/>
    <w:rsid w:val="185B33A7"/>
    <w:rsid w:val="18664A70"/>
    <w:rsid w:val="18696FAB"/>
    <w:rsid w:val="187C5652"/>
    <w:rsid w:val="1896252A"/>
    <w:rsid w:val="18970F3E"/>
    <w:rsid w:val="1899513C"/>
    <w:rsid w:val="18F16A99"/>
    <w:rsid w:val="19186472"/>
    <w:rsid w:val="191B517B"/>
    <w:rsid w:val="193A3FB5"/>
    <w:rsid w:val="193C4BB0"/>
    <w:rsid w:val="1949778E"/>
    <w:rsid w:val="19502410"/>
    <w:rsid w:val="19597135"/>
    <w:rsid w:val="196172AB"/>
    <w:rsid w:val="198767F0"/>
    <w:rsid w:val="19913825"/>
    <w:rsid w:val="199561E1"/>
    <w:rsid w:val="19A27C49"/>
    <w:rsid w:val="19AC265C"/>
    <w:rsid w:val="19BB7D09"/>
    <w:rsid w:val="19BF1D1E"/>
    <w:rsid w:val="19C239FC"/>
    <w:rsid w:val="19D07F5A"/>
    <w:rsid w:val="19DE49E5"/>
    <w:rsid w:val="19E204BA"/>
    <w:rsid w:val="1A07765C"/>
    <w:rsid w:val="1A0D3179"/>
    <w:rsid w:val="1A107D35"/>
    <w:rsid w:val="1A412B83"/>
    <w:rsid w:val="1A713222"/>
    <w:rsid w:val="1A79029D"/>
    <w:rsid w:val="1A85338F"/>
    <w:rsid w:val="1A8A2712"/>
    <w:rsid w:val="1AA450D4"/>
    <w:rsid w:val="1AB61FD9"/>
    <w:rsid w:val="1AB65728"/>
    <w:rsid w:val="1AC353D2"/>
    <w:rsid w:val="1AC73DAD"/>
    <w:rsid w:val="1AD34989"/>
    <w:rsid w:val="1ADE7916"/>
    <w:rsid w:val="1AFC2518"/>
    <w:rsid w:val="1B114E47"/>
    <w:rsid w:val="1B137CE9"/>
    <w:rsid w:val="1B3101AE"/>
    <w:rsid w:val="1B367804"/>
    <w:rsid w:val="1B3956A1"/>
    <w:rsid w:val="1B4322C1"/>
    <w:rsid w:val="1B457121"/>
    <w:rsid w:val="1B8F59EC"/>
    <w:rsid w:val="1B914BA1"/>
    <w:rsid w:val="1BA219B8"/>
    <w:rsid w:val="1BA2680D"/>
    <w:rsid w:val="1BBCB596"/>
    <w:rsid w:val="1BE051BF"/>
    <w:rsid w:val="1C037C0B"/>
    <w:rsid w:val="1C0A401A"/>
    <w:rsid w:val="1C19439F"/>
    <w:rsid w:val="1C1D0212"/>
    <w:rsid w:val="1C227CFB"/>
    <w:rsid w:val="1C240F0A"/>
    <w:rsid w:val="1C31749D"/>
    <w:rsid w:val="1C351476"/>
    <w:rsid w:val="1C3F7F0E"/>
    <w:rsid w:val="1C4074E7"/>
    <w:rsid w:val="1C4A2FB3"/>
    <w:rsid w:val="1C554F92"/>
    <w:rsid w:val="1C586263"/>
    <w:rsid w:val="1C680FA1"/>
    <w:rsid w:val="1C6B42A6"/>
    <w:rsid w:val="1CAA5713"/>
    <w:rsid w:val="1CB62B75"/>
    <w:rsid w:val="1CBA017F"/>
    <w:rsid w:val="1CC35EE0"/>
    <w:rsid w:val="1CD426A9"/>
    <w:rsid w:val="1CDEA5EA"/>
    <w:rsid w:val="1CE56733"/>
    <w:rsid w:val="1CF906EF"/>
    <w:rsid w:val="1CFD40E5"/>
    <w:rsid w:val="1D111645"/>
    <w:rsid w:val="1D1F3EAE"/>
    <w:rsid w:val="1D22095B"/>
    <w:rsid w:val="1D2824B2"/>
    <w:rsid w:val="1D412EE9"/>
    <w:rsid w:val="1D510321"/>
    <w:rsid w:val="1D6611F9"/>
    <w:rsid w:val="1D7E0799"/>
    <w:rsid w:val="1D7F37EF"/>
    <w:rsid w:val="1D91426D"/>
    <w:rsid w:val="1D9E7C58"/>
    <w:rsid w:val="1DA3360D"/>
    <w:rsid w:val="1DA352F3"/>
    <w:rsid w:val="1DA71A94"/>
    <w:rsid w:val="1DB83877"/>
    <w:rsid w:val="1DBB4D91"/>
    <w:rsid w:val="1E01086B"/>
    <w:rsid w:val="1E175B66"/>
    <w:rsid w:val="1E185C6D"/>
    <w:rsid w:val="1E197AE9"/>
    <w:rsid w:val="1E1B0811"/>
    <w:rsid w:val="1E304CBC"/>
    <w:rsid w:val="1E31521B"/>
    <w:rsid w:val="1E490D35"/>
    <w:rsid w:val="1E4B2280"/>
    <w:rsid w:val="1E554210"/>
    <w:rsid w:val="1E8D1141"/>
    <w:rsid w:val="1EBB39A3"/>
    <w:rsid w:val="1EBE3CCE"/>
    <w:rsid w:val="1ED62D0C"/>
    <w:rsid w:val="1ED85FD7"/>
    <w:rsid w:val="1EDA761B"/>
    <w:rsid w:val="1EE059C6"/>
    <w:rsid w:val="1EE87C4A"/>
    <w:rsid w:val="1EE94AD6"/>
    <w:rsid w:val="1EF14E41"/>
    <w:rsid w:val="1F0A3D21"/>
    <w:rsid w:val="1F0B1F12"/>
    <w:rsid w:val="1F2103E4"/>
    <w:rsid w:val="1F226BC6"/>
    <w:rsid w:val="1F4311CC"/>
    <w:rsid w:val="1F476B57"/>
    <w:rsid w:val="1F626E66"/>
    <w:rsid w:val="1F6D14D2"/>
    <w:rsid w:val="1FA47FE5"/>
    <w:rsid w:val="1FA652BC"/>
    <w:rsid w:val="1FBB3A15"/>
    <w:rsid w:val="1FBB3A2B"/>
    <w:rsid w:val="1FBF107A"/>
    <w:rsid w:val="1FD273BC"/>
    <w:rsid w:val="1FDDD49A"/>
    <w:rsid w:val="1FE9652E"/>
    <w:rsid w:val="1FEC07B8"/>
    <w:rsid w:val="1FFA2AAE"/>
    <w:rsid w:val="200F2D80"/>
    <w:rsid w:val="20485B74"/>
    <w:rsid w:val="20645BA6"/>
    <w:rsid w:val="206A2191"/>
    <w:rsid w:val="20765D8B"/>
    <w:rsid w:val="208276B1"/>
    <w:rsid w:val="208E7682"/>
    <w:rsid w:val="20A13826"/>
    <w:rsid w:val="20B87A1C"/>
    <w:rsid w:val="20BC6515"/>
    <w:rsid w:val="20CF23AF"/>
    <w:rsid w:val="20D90A47"/>
    <w:rsid w:val="20E20BF1"/>
    <w:rsid w:val="2113158A"/>
    <w:rsid w:val="211C6D92"/>
    <w:rsid w:val="212A4057"/>
    <w:rsid w:val="212D37BE"/>
    <w:rsid w:val="212E0317"/>
    <w:rsid w:val="21315C46"/>
    <w:rsid w:val="213343D6"/>
    <w:rsid w:val="215570EC"/>
    <w:rsid w:val="2162204D"/>
    <w:rsid w:val="217102F9"/>
    <w:rsid w:val="217C5968"/>
    <w:rsid w:val="21811A73"/>
    <w:rsid w:val="218F7F9B"/>
    <w:rsid w:val="21A16FC5"/>
    <w:rsid w:val="21A71EA9"/>
    <w:rsid w:val="21A95609"/>
    <w:rsid w:val="21CC5DB4"/>
    <w:rsid w:val="21D24512"/>
    <w:rsid w:val="21D869AC"/>
    <w:rsid w:val="21E00FF3"/>
    <w:rsid w:val="22203799"/>
    <w:rsid w:val="222625DF"/>
    <w:rsid w:val="22271300"/>
    <w:rsid w:val="22465471"/>
    <w:rsid w:val="224D462B"/>
    <w:rsid w:val="22515914"/>
    <w:rsid w:val="225335B6"/>
    <w:rsid w:val="22747DC6"/>
    <w:rsid w:val="22757643"/>
    <w:rsid w:val="2289302F"/>
    <w:rsid w:val="22975AA9"/>
    <w:rsid w:val="22D9639A"/>
    <w:rsid w:val="22DD664B"/>
    <w:rsid w:val="22E8783B"/>
    <w:rsid w:val="22EB159C"/>
    <w:rsid w:val="22F760D9"/>
    <w:rsid w:val="22FE71AE"/>
    <w:rsid w:val="230B4145"/>
    <w:rsid w:val="231126C2"/>
    <w:rsid w:val="2314326E"/>
    <w:rsid w:val="23165D13"/>
    <w:rsid w:val="23450E55"/>
    <w:rsid w:val="23470762"/>
    <w:rsid w:val="23514E57"/>
    <w:rsid w:val="23615A40"/>
    <w:rsid w:val="23647B16"/>
    <w:rsid w:val="239F7604"/>
    <w:rsid w:val="23A56226"/>
    <w:rsid w:val="23AA5EFB"/>
    <w:rsid w:val="23D17882"/>
    <w:rsid w:val="23D81FEC"/>
    <w:rsid w:val="23DB57E3"/>
    <w:rsid w:val="23E4558F"/>
    <w:rsid w:val="23EB694C"/>
    <w:rsid w:val="23EE1ABE"/>
    <w:rsid w:val="23FB4264"/>
    <w:rsid w:val="24004D1B"/>
    <w:rsid w:val="24026553"/>
    <w:rsid w:val="240B2425"/>
    <w:rsid w:val="240D6A07"/>
    <w:rsid w:val="242C5EF8"/>
    <w:rsid w:val="242D1690"/>
    <w:rsid w:val="24346DB3"/>
    <w:rsid w:val="24350AA8"/>
    <w:rsid w:val="244A5B5F"/>
    <w:rsid w:val="245B659B"/>
    <w:rsid w:val="247B5060"/>
    <w:rsid w:val="248A2CCA"/>
    <w:rsid w:val="249EB701"/>
    <w:rsid w:val="24A571F5"/>
    <w:rsid w:val="24B50775"/>
    <w:rsid w:val="24C24AD1"/>
    <w:rsid w:val="24C30E09"/>
    <w:rsid w:val="24E41B38"/>
    <w:rsid w:val="24F07B7D"/>
    <w:rsid w:val="25047AF5"/>
    <w:rsid w:val="250E6E07"/>
    <w:rsid w:val="25303D51"/>
    <w:rsid w:val="25363B45"/>
    <w:rsid w:val="253A7645"/>
    <w:rsid w:val="253F60E7"/>
    <w:rsid w:val="25441C56"/>
    <w:rsid w:val="25445F38"/>
    <w:rsid w:val="25842854"/>
    <w:rsid w:val="25886835"/>
    <w:rsid w:val="258B6AC2"/>
    <w:rsid w:val="25923621"/>
    <w:rsid w:val="25B513E0"/>
    <w:rsid w:val="25B97E6C"/>
    <w:rsid w:val="25BB39CB"/>
    <w:rsid w:val="25BE12C8"/>
    <w:rsid w:val="25D03278"/>
    <w:rsid w:val="25E831DF"/>
    <w:rsid w:val="26204418"/>
    <w:rsid w:val="262A7C69"/>
    <w:rsid w:val="262D7126"/>
    <w:rsid w:val="26381A34"/>
    <w:rsid w:val="264C20DD"/>
    <w:rsid w:val="26573CB4"/>
    <w:rsid w:val="265D5FE5"/>
    <w:rsid w:val="266E2EC8"/>
    <w:rsid w:val="26816E9E"/>
    <w:rsid w:val="26A91C87"/>
    <w:rsid w:val="26B677C5"/>
    <w:rsid w:val="26C05223"/>
    <w:rsid w:val="26D72C95"/>
    <w:rsid w:val="26F212D3"/>
    <w:rsid w:val="26FA28EC"/>
    <w:rsid w:val="273B5693"/>
    <w:rsid w:val="275D6955"/>
    <w:rsid w:val="276B2356"/>
    <w:rsid w:val="277E7659"/>
    <w:rsid w:val="278F13DB"/>
    <w:rsid w:val="27AF7285"/>
    <w:rsid w:val="27B45E70"/>
    <w:rsid w:val="27DD64B8"/>
    <w:rsid w:val="27E94950"/>
    <w:rsid w:val="27EF686B"/>
    <w:rsid w:val="27F131F6"/>
    <w:rsid w:val="27F31FF1"/>
    <w:rsid w:val="27F86AB1"/>
    <w:rsid w:val="28030AC0"/>
    <w:rsid w:val="28164770"/>
    <w:rsid w:val="281F4691"/>
    <w:rsid w:val="282C08FD"/>
    <w:rsid w:val="283A75D2"/>
    <w:rsid w:val="283E4817"/>
    <w:rsid w:val="28421458"/>
    <w:rsid w:val="28461026"/>
    <w:rsid w:val="28571F51"/>
    <w:rsid w:val="286B068A"/>
    <w:rsid w:val="287D4D50"/>
    <w:rsid w:val="288739CC"/>
    <w:rsid w:val="28A27A5D"/>
    <w:rsid w:val="28AB7E06"/>
    <w:rsid w:val="28AE0A9D"/>
    <w:rsid w:val="28CB224D"/>
    <w:rsid w:val="28CE306C"/>
    <w:rsid w:val="28DB00A0"/>
    <w:rsid w:val="28DF7063"/>
    <w:rsid w:val="28EF3C0B"/>
    <w:rsid w:val="29067D57"/>
    <w:rsid w:val="292F7131"/>
    <w:rsid w:val="294C1451"/>
    <w:rsid w:val="294F0316"/>
    <w:rsid w:val="29512082"/>
    <w:rsid w:val="29634789"/>
    <w:rsid w:val="29766DF7"/>
    <w:rsid w:val="297817D2"/>
    <w:rsid w:val="297A3FBF"/>
    <w:rsid w:val="299517DB"/>
    <w:rsid w:val="29A307CE"/>
    <w:rsid w:val="29AB072D"/>
    <w:rsid w:val="29AE5CFA"/>
    <w:rsid w:val="29C83998"/>
    <w:rsid w:val="29C92F9B"/>
    <w:rsid w:val="29D03EDE"/>
    <w:rsid w:val="29DB4C0B"/>
    <w:rsid w:val="29F35087"/>
    <w:rsid w:val="29FD00AE"/>
    <w:rsid w:val="2A135C20"/>
    <w:rsid w:val="2A215117"/>
    <w:rsid w:val="2A251629"/>
    <w:rsid w:val="2A3E21F5"/>
    <w:rsid w:val="2A5B73B9"/>
    <w:rsid w:val="2A771032"/>
    <w:rsid w:val="2A88521A"/>
    <w:rsid w:val="2AAE403D"/>
    <w:rsid w:val="2ABD23DA"/>
    <w:rsid w:val="2AC4343E"/>
    <w:rsid w:val="2ACB389F"/>
    <w:rsid w:val="2AED6C2C"/>
    <w:rsid w:val="2AFC2046"/>
    <w:rsid w:val="2B4330B5"/>
    <w:rsid w:val="2B592E26"/>
    <w:rsid w:val="2B5F2A86"/>
    <w:rsid w:val="2B6738C6"/>
    <w:rsid w:val="2B7B4568"/>
    <w:rsid w:val="2B8818C0"/>
    <w:rsid w:val="2B9B0CEB"/>
    <w:rsid w:val="2B9E7411"/>
    <w:rsid w:val="2BAE5781"/>
    <w:rsid w:val="2BB1502A"/>
    <w:rsid w:val="2BBF0E26"/>
    <w:rsid w:val="2BDC2625"/>
    <w:rsid w:val="2BEE51BF"/>
    <w:rsid w:val="2BF45EC0"/>
    <w:rsid w:val="2BF5349F"/>
    <w:rsid w:val="2BFC164B"/>
    <w:rsid w:val="2BFF1AF4"/>
    <w:rsid w:val="2C0831B0"/>
    <w:rsid w:val="2C103BF2"/>
    <w:rsid w:val="2C174A62"/>
    <w:rsid w:val="2C235E6C"/>
    <w:rsid w:val="2C2519AA"/>
    <w:rsid w:val="2C385C1F"/>
    <w:rsid w:val="2C482AB2"/>
    <w:rsid w:val="2C525C2A"/>
    <w:rsid w:val="2C6113C4"/>
    <w:rsid w:val="2C773B60"/>
    <w:rsid w:val="2CA609B1"/>
    <w:rsid w:val="2CAD2D63"/>
    <w:rsid w:val="2CAE1A3F"/>
    <w:rsid w:val="2CBB2133"/>
    <w:rsid w:val="2CCB6E9F"/>
    <w:rsid w:val="2CDF4BEE"/>
    <w:rsid w:val="2CE34BE0"/>
    <w:rsid w:val="2CF52398"/>
    <w:rsid w:val="2CF81AA3"/>
    <w:rsid w:val="2CFF665A"/>
    <w:rsid w:val="2D052F5A"/>
    <w:rsid w:val="2D0E04DB"/>
    <w:rsid w:val="2D1100E4"/>
    <w:rsid w:val="2D221758"/>
    <w:rsid w:val="2D3A5679"/>
    <w:rsid w:val="2D524D99"/>
    <w:rsid w:val="2D5C72E8"/>
    <w:rsid w:val="2D63177F"/>
    <w:rsid w:val="2D6D2EBC"/>
    <w:rsid w:val="2D7A3437"/>
    <w:rsid w:val="2D925838"/>
    <w:rsid w:val="2D95187A"/>
    <w:rsid w:val="2DC44040"/>
    <w:rsid w:val="2DC942FB"/>
    <w:rsid w:val="2DDF1BAC"/>
    <w:rsid w:val="2DDF449D"/>
    <w:rsid w:val="2DE151F2"/>
    <w:rsid w:val="2DFD17A7"/>
    <w:rsid w:val="2E043064"/>
    <w:rsid w:val="2E097D2C"/>
    <w:rsid w:val="2E261D19"/>
    <w:rsid w:val="2E2A727C"/>
    <w:rsid w:val="2E353961"/>
    <w:rsid w:val="2E35480D"/>
    <w:rsid w:val="2E387CF5"/>
    <w:rsid w:val="2E4A634C"/>
    <w:rsid w:val="2E7822CA"/>
    <w:rsid w:val="2E906BBD"/>
    <w:rsid w:val="2E923A2C"/>
    <w:rsid w:val="2EAA6173"/>
    <w:rsid w:val="2EB7595D"/>
    <w:rsid w:val="2EBF5607"/>
    <w:rsid w:val="2EC816D0"/>
    <w:rsid w:val="2EE57B41"/>
    <w:rsid w:val="2EE63A63"/>
    <w:rsid w:val="2F3D43C2"/>
    <w:rsid w:val="2F453738"/>
    <w:rsid w:val="2F4844E1"/>
    <w:rsid w:val="2F5452BD"/>
    <w:rsid w:val="2F5E3D66"/>
    <w:rsid w:val="2F611DFD"/>
    <w:rsid w:val="2F64761F"/>
    <w:rsid w:val="2F6D2DA2"/>
    <w:rsid w:val="2F720D27"/>
    <w:rsid w:val="2F8D148B"/>
    <w:rsid w:val="2FCC0186"/>
    <w:rsid w:val="2FD25A28"/>
    <w:rsid w:val="2FD4200B"/>
    <w:rsid w:val="2FE0225F"/>
    <w:rsid w:val="2FF1467B"/>
    <w:rsid w:val="2FFE7F16"/>
    <w:rsid w:val="30157470"/>
    <w:rsid w:val="301D0C54"/>
    <w:rsid w:val="301D652F"/>
    <w:rsid w:val="303736AF"/>
    <w:rsid w:val="3046447A"/>
    <w:rsid w:val="304E5E3C"/>
    <w:rsid w:val="305032F7"/>
    <w:rsid w:val="308F6C8E"/>
    <w:rsid w:val="30A072C6"/>
    <w:rsid w:val="30A76DF4"/>
    <w:rsid w:val="30AB1BB8"/>
    <w:rsid w:val="30B403BB"/>
    <w:rsid w:val="30D26E9B"/>
    <w:rsid w:val="30D858B2"/>
    <w:rsid w:val="30ED2611"/>
    <w:rsid w:val="30F116A9"/>
    <w:rsid w:val="30F61F7E"/>
    <w:rsid w:val="30F65F9B"/>
    <w:rsid w:val="3101393D"/>
    <w:rsid w:val="310218CC"/>
    <w:rsid w:val="313811DF"/>
    <w:rsid w:val="31432B29"/>
    <w:rsid w:val="31466911"/>
    <w:rsid w:val="314E3619"/>
    <w:rsid w:val="31694FB2"/>
    <w:rsid w:val="31731783"/>
    <w:rsid w:val="31743AED"/>
    <w:rsid w:val="31762ECB"/>
    <w:rsid w:val="317877CC"/>
    <w:rsid w:val="31995F79"/>
    <w:rsid w:val="31B94704"/>
    <w:rsid w:val="31CF643D"/>
    <w:rsid w:val="31D4619A"/>
    <w:rsid w:val="31EB1785"/>
    <w:rsid w:val="31EBD6E2"/>
    <w:rsid w:val="31EF230F"/>
    <w:rsid w:val="31F17F48"/>
    <w:rsid w:val="32030C15"/>
    <w:rsid w:val="320473EF"/>
    <w:rsid w:val="320639D0"/>
    <w:rsid w:val="32112F01"/>
    <w:rsid w:val="32162406"/>
    <w:rsid w:val="321D1652"/>
    <w:rsid w:val="322356D3"/>
    <w:rsid w:val="32247CEE"/>
    <w:rsid w:val="32262C80"/>
    <w:rsid w:val="32341610"/>
    <w:rsid w:val="323F0569"/>
    <w:rsid w:val="32403009"/>
    <w:rsid w:val="324105C4"/>
    <w:rsid w:val="32453FC3"/>
    <w:rsid w:val="325B63B4"/>
    <w:rsid w:val="325F52B0"/>
    <w:rsid w:val="326F5FD8"/>
    <w:rsid w:val="32762845"/>
    <w:rsid w:val="327A6A92"/>
    <w:rsid w:val="32992B17"/>
    <w:rsid w:val="32A72E74"/>
    <w:rsid w:val="32C35087"/>
    <w:rsid w:val="32DB2D72"/>
    <w:rsid w:val="32DE5402"/>
    <w:rsid w:val="32E13DBE"/>
    <w:rsid w:val="330E55BA"/>
    <w:rsid w:val="33241DD7"/>
    <w:rsid w:val="332F0B60"/>
    <w:rsid w:val="334807A0"/>
    <w:rsid w:val="33503008"/>
    <w:rsid w:val="33604436"/>
    <w:rsid w:val="336326A0"/>
    <w:rsid w:val="33635498"/>
    <w:rsid w:val="336510ED"/>
    <w:rsid w:val="33693008"/>
    <w:rsid w:val="336B0EB0"/>
    <w:rsid w:val="3370366D"/>
    <w:rsid w:val="33906579"/>
    <w:rsid w:val="33AE3EF3"/>
    <w:rsid w:val="33B513A0"/>
    <w:rsid w:val="33B53178"/>
    <w:rsid w:val="33BF6938"/>
    <w:rsid w:val="33C149E7"/>
    <w:rsid w:val="33CB2CBE"/>
    <w:rsid w:val="33D076B3"/>
    <w:rsid w:val="33DB3A71"/>
    <w:rsid w:val="33E13F1A"/>
    <w:rsid w:val="33F22401"/>
    <w:rsid w:val="34041C95"/>
    <w:rsid w:val="340A580A"/>
    <w:rsid w:val="340A6DFB"/>
    <w:rsid w:val="340D069D"/>
    <w:rsid w:val="34176AF4"/>
    <w:rsid w:val="341E373B"/>
    <w:rsid w:val="34295DAC"/>
    <w:rsid w:val="342C3BD0"/>
    <w:rsid w:val="343E1A7A"/>
    <w:rsid w:val="34572F39"/>
    <w:rsid w:val="34577D39"/>
    <w:rsid w:val="345F2873"/>
    <w:rsid w:val="3470488A"/>
    <w:rsid w:val="34756B3A"/>
    <w:rsid w:val="34797F10"/>
    <w:rsid w:val="347B6314"/>
    <w:rsid w:val="34893BBD"/>
    <w:rsid w:val="348E4A88"/>
    <w:rsid w:val="34A97C66"/>
    <w:rsid w:val="34AE6ED1"/>
    <w:rsid w:val="34BB7892"/>
    <w:rsid w:val="34CE0836"/>
    <w:rsid w:val="34DF901D"/>
    <w:rsid w:val="35116151"/>
    <w:rsid w:val="35133475"/>
    <w:rsid w:val="351A2A99"/>
    <w:rsid w:val="35294D35"/>
    <w:rsid w:val="354752B6"/>
    <w:rsid w:val="35535E87"/>
    <w:rsid w:val="35734410"/>
    <w:rsid w:val="358B4B2C"/>
    <w:rsid w:val="359D7DD8"/>
    <w:rsid w:val="35A62B50"/>
    <w:rsid w:val="35A8437E"/>
    <w:rsid w:val="35B330F9"/>
    <w:rsid w:val="35BD4FC4"/>
    <w:rsid w:val="35C44302"/>
    <w:rsid w:val="35C67F09"/>
    <w:rsid w:val="35E00650"/>
    <w:rsid w:val="35E03C35"/>
    <w:rsid w:val="35EA71C8"/>
    <w:rsid w:val="35F8244A"/>
    <w:rsid w:val="36160601"/>
    <w:rsid w:val="361B38E2"/>
    <w:rsid w:val="361E17EC"/>
    <w:rsid w:val="364E39D0"/>
    <w:rsid w:val="364F28D7"/>
    <w:rsid w:val="365C7EAC"/>
    <w:rsid w:val="36637B43"/>
    <w:rsid w:val="36653056"/>
    <w:rsid w:val="368059DC"/>
    <w:rsid w:val="36901148"/>
    <w:rsid w:val="36965B0C"/>
    <w:rsid w:val="36AE1C8C"/>
    <w:rsid w:val="36B55114"/>
    <w:rsid w:val="36B60416"/>
    <w:rsid w:val="371C3FBD"/>
    <w:rsid w:val="371C4296"/>
    <w:rsid w:val="372775AC"/>
    <w:rsid w:val="37284E2A"/>
    <w:rsid w:val="372B2A60"/>
    <w:rsid w:val="37314C03"/>
    <w:rsid w:val="374E1357"/>
    <w:rsid w:val="3759155E"/>
    <w:rsid w:val="376930D7"/>
    <w:rsid w:val="376D32EF"/>
    <w:rsid w:val="377324B8"/>
    <w:rsid w:val="37972D58"/>
    <w:rsid w:val="37AA7406"/>
    <w:rsid w:val="37AB1671"/>
    <w:rsid w:val="37B4274F"/>
    <w:rsid w:val="37B70830"/>
    <w:rsid w:val="37BA410A"/>
    <w:rsid w:val="37BB54DF"/>
    <w:rsid w:val="37BB5A3E"/>
    <w:rsid w:val="37BC2A25"/>
    <w:rsid w:val="37CB3E0E"/>
    <w:rsid w:val="37D319CC"/>
    <w:rsid w:val="37E86596"/>
    <w:rsid w:val="37F501BA"/>
    <w:rsid w:val="382222E9"/>
    <w:rsid w:val="382B15AF"/>
    <w:rsid w:val="382F0B9B"/>
    <w:rsid w:val="38945CE2"/>
    <w:rsid w:val="38966813"/>
    <w:rsid w:val="389A4A2D"/>
    <w:rsid w:val="38A85877"/>
    <w:rsid w:val="38B77EAF"/>
    <w:rsid w:val="38BC7B28"/>
    <w:rsid w:val="38BF22BC"/>
    <w:rsid w:val="38C21CBB"/>
    <w:rsid w:val="38DD1503"/>
    <w:rsid w:val="38FE60D7"/>
    <w:rsid w:val="39017477"/>
    <w:rsid w:val="39084474"/>
    <w:rsid w:val="391B364B"/>
    <w:rsid w:val="397E00EE"/>
    <w:rsid w:val="3983152E"/>
    <w:rsid w:val="39904555"/>
    <w:rsid w:val="3998520B"/>
    <w:rsid w:val="399A450B"/>
    <w:rsid w:val="39A136E4"/>
    <w:rsid w:val="39AB725D"/>
    <w:rsid w:val="39AE6A79"/>
    <w:rsid w:val="39B025C4"/>
    <w:rsid w:val="39BB624C"/>
    <w:rsid w:val="39C73CE4"/>
    <w:rsid w:val="39C81A16"/>
    <w:rsid w:val="39DA2B11"/>
    <w:rsid w:val="39DB14FC"/>
    <w:rsid w:val="39E31E99"/>
    <w:rsid w:val="39FAD129"/>
    <w:rsid w:val="39FC048D"/>
    <w:rsid w:val="3A0740DC"/>
    <w:rsid w:val="3A4A2E17"/>
    <w:rsid w:val="3A5029AE"/>
    <w:rsid w:val="3A54214E"/>
    <w:rsid w:val="3A610D86"/>
    <w:rsid w:val="3A6C0573"/>
    <w:rsid w:val="3A6D3ACF"/>
    <w:rsid w:val="3A79446D"/>
    <w:rsid w:val="3A8C513C"/>
    <w:rsid w:val="3A9348C2"/>
    <w:rsid w:val="3AA47CEF"/>
    <w:rsid w:val="3AB7078E"/>
    <w:rsid w:val="3ABB4F47"/>
    <w:rsid w:val="3ABD4DC9"/>
    <w:rsid w:val="3AC165A9"/>
    <w:rsid w:val="3AD12913"/>
    <w:rsid w:val="3AD5589C"/>
    <w:rsid w:val="3AE90E23"/>
    <w:rsid w:val="3B2A238E"/>
    <w:rsid w:val="3B31558D"/>
    <w:rsid w:val="3B355446"/>
    <w:rsid w:val="3B432B71"/>
    <w:rsid w:val="3B491B36"/>
    <w:rsid w:val="3B6541D3"/>
    <w:rsid w:val="3B6808A2"/>
    <w:rsid w:val="3B92292C"/>
    <w:rsid w:val="3BA55588"/>
    <w:rsid w:val="3BA62F65"/>
    <w:rsid w:val="3BAC10A0"/>
    <w:rsid w:val="3BB39AA3"/>
    <w:rsid w:val="3BC746F3"/>
    <w:rsid w:val="3BE644DC"/>
    <w:rsid w:val="3BF12B71"/>
    <w:rsid w:val="3BFE498F"/>
    <w:rsid w:val="3C0C7DC8"/>
    <w:rsid w:val="3C271246"/>
    <w:rsid w:val="3C597395"/>
    <w:rsid w:val="3C6B79A8"/>
    <w:rsid w:val="3C7878BE"/>
    <w:rsid w:val="3CD775B2"/>
    <w:rsid w:val="3CED0DDA"/>
    <w:rsid w:val="3CF20689"/>
    <w:rsid w:val="3CFD5F98"/>
    <w:rsid w:val="3D1C60CB"/>
    <w:rsid w:val="3D1E011E"/>
    <w:rsid w:val="3D2D269B"/>
    <w:rsid w:val="3D3A2368"/>
    <w:rsid w:val="3D491ADC"/>
    <w:rsid w:val="3D53479F"/>
    <w:rsid w:val="3D6B5E25"/>
    <w:rsid w:val="3D7272B7"/>
    <w:rsid w:val="3D7B0F61"/>
    <w:rsid w:val="3D827B5F"/>
    <w:rsid w:val="3DC35447"/>
    <w:rsid w:val="3DCF3B10"/>
    <w:rsid w:val="3DD81FF2"/>
    <w:rsid w:val="3DE47DE8"/>
    <w:rsid w:val="3DF00129"/>
    <w:rsid w:val="3DF60E87"/>
    <w:rsid w:val="3DFBC3FF"/>
    <w:rsid w:val="3E1D5039"/>
    <w:rsid w:val="3E261E2D"/>
    <w:rsid w:val="3E263CDC"/>
    <w:rsid w:val="3E301B3A"/>
    <w:rsid w:val="3E48253E"/>
    <w:rsid w:val="3E577D17"/>
    <w:rsid w:val="3E863388"/>
    <w:rsid w:val="3E8C554D"/>
    <w:rsid w:val="3EA00C39"/>
    <w:rsid w:val="3EAF0436"/>
    <w:rsid w:val="3ECC2BE8"/>
    <w:rsid w:val="3EF44C62"/>
    <w:rsid w:val="3F104347"/>
    <w:rsid w:val="3F51370D"/>
    <w:rsid w:val="3F5B64DA"/>
    <w:rsid w:val="3F5E6B1E"/>
    <w:rsid w:val="3F5FDDDD"/>
    <w:rsid w:val="3F66AC9F"/>
    <w:rsid w:val="3F7308CB"/>
    <w:rsid w:val="3F765959"/>
    <w:rsid w:val="3F984F41"/>
    <w:rsid w:val="3F9B7F98"/>
    <w:rsid w:val="3FA3503C"/>
    <w:rsid w:val="3FA80A45"/>
    <w:rsid w:val="3FB05E2A"/>
    <w:rsid w:val="3FCC40B2"/>
    <w:rsid w:val="3FCD20E6"/>
    <w:rsid w:val="3FE72687"/>
    <w:rsid w:val="3FF73D4E"/>
    <w:rsid w:val="3FFC072E"/>
    <w:rsid w:val="40117C25"/>
    <w:rsid w:val="40147B2B"/>
    <w:rsid w:val="40161DE8"/>
    <w:rsid w:val="4027003D"/>
    <w:rsid w:val="402D00EA"/>
    <w:rsid w:val="40587147"/>
    <w:rsid w:val="4061362B"/>
    <w:rsid w:val="406731CA"/>
    <w:rsid w:val="40677D6A"/>
    <w:rsid w:val="407A24E3"/>
    <w:rsid w:val="4085469A"/>
    <w:rsid w:val="408A4434"/>
    <w:rsid w:val="40BF784C"/>
    <w:rsid w:val="40C00F62"/>
    <w:rsid w:val="40C80DE6"/>
    <w:rsid w:val="40CB756B"/>
    <w:rsid w:val="40F520A7"/>
    <w:rsid w:val="40FE0773"/>
    <w:rsid w:val="41075D9D"/>
    <w:rsid w:val="413859BD"/>
    <w:rsid w:val="41420B9D"/>
    <w:rsid w:val="41545F7F"/>
    <w:rsid w:val="41677CD8"/>
    <w:rsid w:val="41681482"/>
    <w:rsid w:val="416A406F"/>
    <w:rsid w:val="41737FFD"/>
    <w:rsid w:val="417A5EB2"/>
    <w:rsid w:val="41926C07"/>
    <w:rsid w:val="419830D3"/>
    <w:rsid w:val="41BD2441"/>
    <w:rsid w:val="41C03CA3"/>
    <w:rsid w:val="41DE1B6F"/>
    <w:rsid w:val="42210138"/>
    <w:rsid w:val="42364A34"/>
    <w:rsid w:val="423B646A"/>
    <w:rsid w:val="426B527B"/>
    <w:rsid w:val="427D3F59"/>
    <w:rsid w:val="428D459C"/>
    <w:rsid w:val="429F5F8F"/>
    <w:rsid w:val="42A74BB5"/>
    <w:rsid w:val="42C17C1D"/>
    <w:rsid w:val="42DA058A"/>
    <w:rsid w:val="43125ACE"/>
    <w:rsid w:val="432528B9"/>
    <w:rsid w:val="432C70A7"/>
    <w:rsid w:val="43317540"/>
    <w:rsid w:val="435B64F7"/>
    <w:rsid w:val="4362049A"/>
    <w:rsid w:val="436741AE"/>
    <w:rsid w:val="43794969"/>
    <w:rsid w:val="437D7A0B"/>
    <w:rsid w:val="43854BB6"/>
    <w:rsid w:val="438E65C4"/>
    <w:rsid w:val="43AC460F"/>
    <w:rsid w:val="43F671B7"/>
    <w:rsid w:val="441310F8"/>
    <w:rsid w:val="441A5A54"/>
    <w:rsid w:val="442E231D"/>
    <w:rsid w:val="44450D18"/>
    <w:rsid w:val="444D4DFF"/>
    <w:rsid w:val="446513B8"/>
    <w:rsid w:val="446B0DE7"/>
    <w:rsid w:val="448A4A21"/>
    <w:rsid w:val="449425B8"/>
    <w:rsid w:val="44A41E58"/>
    <w:rsid w:val="44B50151"/>
    <w:rsid w:val="44B76728"/>
    <w:rsid w:val="44B81842"/>
    <w:rsid w:val="44BE3510"/>
    <w:rsid w:val="44BE53DF"/>
    <w:rsid w:val="44BE6B74"/>
    <w:rsid w:val="44CC4BF3"/>
    <w:rsid w:val="45135121"/>
    <w:rsid w:val="451B08C0"/>
    <w:rsid w:val="452D74E6"/>
    <w:rsid w:val="4557344C"/>
    <w:rsid w:val="455E5FF3"/>
    <w:rsid w:val="456C140D"/>
    <w:rsid w:val="457B4D02"/>
    <w:rsid w:val="458B43DD"/>
    <w:rsid w:val="459078CC"/>
    <w:rsid w:val="45AD630E"/>
    <w:rsid w:val="45B25AE4"/>
    <w:rsid w:val="45CC73FB"/>
    <w:rsid w:val="45D027DC"/>
    <w:rsid w:val="45F36B68"/>
    <w:rsid w:val="45F91720"/>
    <w:rsid w:val="45FD009C"/>
    <w:rsid w:val="463F4B67"/>
    <w:rsid w:val="46562AF6"/>
    <w:rsid w:val="4664640C"/>
    <w:rsid w:val="46763A67"/>
    <w:rsid w:val="468D45D7"/>
    <w:rsid w:val="46AA1C7C"/>
    <w:rsid w:val="46B1798C"/>
    <w:rsid w:val="46B557F1"/>
    <w:rsid w:val="46B851A3"/>
    <w:rsid w:val="46C64178"/>
    <w:rsid w:val="46EF7B01"/>
    <w:rsid w:val="46FA54A1"/>
    <w:rsid w:val="470F4982"/>
    <w:rsid w:val="471A063D"/>
    <w:rsid w:val="471B0DCB"/>
    <w:rsid w:val="471F1845"/>
    <w:rsid w:val="47200E8A"/>
    <w:rsid w:val="472E21B7"/>
    <w:rsid w:val="47351D67"/>
    <w:rsid w:val="473957F7"/>
    <w:rsid w:val="47476403"/>
    <w:rsid w:val="475A3E2F"/>
    <w:rsid w:val="475C3662"/>
    <w:rsid w:val="475E5DBF"/>
    <w:rsid w:val="47753DA1"/>
    <w:rsid w:val="47825FC9"/>
    <w:rsid w:val="478263CC"/>
    <w:rsid w:val="478C4228"/>
    <w:rsid w:val="47B63ABA"/>
    <w:rsid w:val="47CB3DF7"/>
    <w:rsid w:val="47CF3257"/>
    <w:rsid w:val="47DB0C05"/>
    <w:rsid w:val="47E94C11"/>
    <w:rsid w:val="47F932DE"/>
    <w:rsid w:val="47FFD167"/>
    <w:rsid w:val="480D5329"/>
    <w:rsid w:val="480D7B6C"/>
    <w:rsid w:val="48197364"/>
    <w:rsid w:val="481E3AFA"/>
    <w:rsid w:val="482C17E9"/>
    <w:rsid w:val="483064F1"/>
    <w:rsid w:val="48312079"/>
    <w:rsid w:val="483F38C7"/>
    <w:rsid w:val="48493D3A"/>
    <w:rsid w:val="485365E5"/>
    <w:rsid w:val="486E126F"/>
    <w:rsid w:val="48745B32"/>
    <w:rsid w:val="48A800FC"/>
    <w:rsid w:val="48B34742"/>
    <w:rsid w:val="48BA3FE9"/>
    <w:rsid w:val="48DC65BE"/>
    <w:rsid w:val="48EB7DD0"/>
    <w:rsid w:val="48ED520E"/>
    <w:rsid w:val="48F236EC"/>
    <w:rsid w:val="48FD46CD"/>
    <w:rsid w:val="490B34D0"/>
    <w:rsid w:val="493B518D"/>
    <w:rsid w:val="49412CCC"/>
    <w:rsid w:val="494710C0"/>
    <w:rsid w:val="49592D4C"/>
    <w:rsid w:val="496156DB"/>
    <w:rsid w:val="496D483A"/>
    <w:rsid w:val="49724C4E"/>
    <w:rsid w:val="49A20FF3"/>
    <w:rsid w:val="49A2196B"/>
    <w:rsid w:val="49A77019"/>
    <w:rsid w:val="49B14532"/>
    <w:rsid w:val="49C20E3A"/>
    <w:rsid w:val="49C278FD"/>
    <w:rsid w:val="49D57693"/>
    <w:rsid w:val="49FC5210"/>
    <w:rsid w:val="4A042E85"/>
    <w:rsid w:val="4A0F7C24"/>
    <w:rsid w:val="4A227C11"/>
    <w:rsid w:val="4A2C0D2C"/>
    <w:rsid w:val="4A330DC4"/>
    <w:rsid w:val="4A353A4B"/>
    <w:rsid w:val="4A3F2427"/>
    <w:rsid w:val="4A45558F"/>
    <w:rsid w:val="4A4603F3"/>
    <w:rsid w:val="4A4901A1"/>
    <w:rsid w:val="4A5D6AA0"/>
    <w:rsid w:val="4A6F69DE"/>
    <w:rsid w:val="4A747432"/>
    <w:rsid w:val="4A8E4DF6"/>
    <w:rsid w:val="4AB14174"/>
    <w:rsid w:val="4ACC4F14"/>
    <w:rsid w:val="4ACF6225"/>
    <w:rsid w:val="4AD607B9"/>
    <w:rsid w:val="4AD61C7C"/>
    <w:rsid w:val="4AD710B1"/>
    <w:rsid w:val="4AF7353B"/>
    <w:rsid w:val="4AFE740C"/>
    <w:rsid w:val="4B3278E1"/>
    <w:rsid w:val="4B451134"/>
    <w:rsid w:val="4B5005C5"/>
    <w:rsid w:val="4B5C46EB"/>
    <w:rsid w:val="4B676E38"/>
    <w:rsid w:val="4B700263"/>
    <w:rsid w:val="4B880EB4"/>
    <w:rsid w:val="4B8825F3"/>
    <w:rsid w:val="4B9A5D9E"/>
    <w:rsid w:val="4BA15E7E"/>
    <w:rsid w:val="4BAB5214"/>
    <w:rsid w:val="4BAE136D"/>
    <w:rsid w:val="4BB418AF"/>
    <w:rsid w:val="4BCE1023"/>
    <w:rsid w:val="4BF2445B"/>
    <w:rsid w:val="4BF305DF"/>
    <w:rsid w:val="4C161E9E"/>
    <w:rsid w:val="4C1C0456"/>
    <w:rsid w:val="4C1E4315"/>
    <w:rsid w:val="4C1F755C"/>
    <w:rsid w:val="4C3641F5"/>
    <w:rsid w:val="4C407794"/>
    <w:rsid w:val="4C4F5E42"/>
    <w:rsid w:val="4C7D7F21"/>
    <w:rsid w:val="4C856ED1"/>
    <w:rsid w:val="4C9B5A02"/>
    <w:rsid w:val="4CA31ED0"/>
    <w:rsid w:val="4CB205DF"/>
    <w:rsid w:val="4CDE60D7"/>
    <w:rsid w:val="4CDE66D4"/>
    <w:rsid w:val="4D054705"/>
    <w:rsid w:val="4D1B60ED"/>
    <w:rsid w:val="4D4144DA"/>
    <w:rsid w:val="4D562AFC"/>
    <w:rsid w:val="4D580D98"/>
    <w:rsid w:val="4D5F2853"/>
    <w:rsid w:val="4D603477"/>
    <w:rsid w:val="4D707DF7"/>
    <w:rsid w:val="4D8F379E"/>
    <w:rsid w:val="4D940D60"/>
    <w:rsid w:val="4DC66A03"/>
    <w:rsid w:val="4DD76A7A"/>
    <w:rsid w:val="4DDB21F6"/>
    <w:rsid w:val="4DE41785"/>
    <w:rsid w:val="4E1B708A"/>
    <w:rsid w:val="4E1D7853"/>
    <w:rsid w:val="4E3752CF"/>
    <w:rsid w:val="4E3E7A2E"/>
    <w:rsid w:val="4E4078CC"/>
    <w:rsid w:val="4E432826"/>
    <w:rsid w:val="4E451F0E"/>
    <w:rsid w:val="4E463641"/>
    <w:rsid w:val="4E4A6866"/>
    <w:rsid w:val="4E5E0631"/>
    <w:rsid w:val="4E697AF7"/>
    <w:rsid w:val="4E6D1425"/>
    <w:rsid w:val="4E700099"/>
    <w:rsid w:val="4E7F41A2"/>
    <w:rsid w:val="4E806954"/>
    <w:rsid w:val="4EA71CBA"/>
    <w:rsid w:val="4EB44842"/>
    <w:rsid w:val="4EE429B6"/>
    <w:rsid w:val="4EFF72CE"/>
    <w:rsid w:val="4F0E0E91"/>
    <w:rsid w:val="4F334112"/>
    <w:rsid w:val="4F3D1623"/>
    <w:rsid w:val="4F3E717D"/>
    <w:rsid w:val="4F4A0189"/>
    <w:rsid w:val="4F4E01DE"/>
    <w:rsid w:val="4F5D301B"/>
    <w:rsid w:val="4F7455A2"/>
    <w:rsid w:val="4F7C5525"/>
    <w:rsid w:val="4F8149EA"/>
    <w:rsid w:val="4F8C1245"/>
    <w:rsid w:val="4F961309"/>
    <w:rsid w:val="4F9F0856"/>
    <w:rsid w:val="4FA14E6A"/>
    <w:rsid w:val="4FBA4441"/>
    <w:rsid w:val="4FC80A23"/>
    <w:rsid w:val="4FCA2FC5"/>
    <w:rsid w:val="4FCA79BC"/>
    <w:rsid w:val="4FDB0C73"/>
    <w:rsid w:val="4FDD20FA"/>
    <w:rsid w:val="4FF1197F"/>
    <w:rsid w:val="4FF255CB"/>
    <w:rsid w:val="50083494"/>
    <w:rsid w:val="50204FB9"/>
    <w:rsid w:val="50244F45"/>
    <w:rsid w:val="50296DA0"/>
    <w:rsid w:val="50521865"/>
    <w:rsid w:val="50552687"/>
    <w:rsid w:val="507769B2"/>
    <w:rsid w:val="507D69C3"/>
    <w:rsid w:val="509368C2"/>
    <w:rsid w:val="509D5B68"/>
    <w:rsid w:val="509E0D56"/>
    <w:rsid w:val="50B43A8B"/>
    <w:rsid w:val="50CA8691"/>
    <w:rsid w:val="50CE3DB1"/>
    <w:rsid w:val="50D23DD4"/>
    <w:rsid w:val="50EB234E"/>
    <w:rsid w:val="50EF5949"/>
    <w:rsid w:val="50F46FB4"/>
    <w:rsid w:val="50F63A4E"/>
    <w:rsid w:val="510252DC"/>
    <w:rsid w:val="512D6712"/>
    <w:rsid w:val="51322B61"/>
    <w:rsid w:val="5149796F"/>
    <w:rsid w:val="51565F02"/>
    <w:rsid w:val="515B49D1"/>
    <w:rsid w:val="5161770C"/>
    <w:rsid w:val="51903023"/>
    <w:rsid w:val="51B426A3"/>
    <w:rsid w:val="51C82CA0"/>
    <w:rsid w:val="51CE4B00"/>
    <w:rsid w:val="51EA7C85"/>
    <w:rsid w:val="51F777EF"/>
    <w:rsid w:val="51F90952"/>
    <w:rsid w:val="52001C41"/>
    <w:rsid w:val="52192F57"/>
    <w:rsid w:val="52286323"/>
    <w:rsid w:val="52293EFD"/>
    <w:rsid w:val="522C3510"/>
    <w:rsid w:val="523975B1"/>
    <w:rsid w:val="52746245"/>
    <w:rsid w:val="52870488"/>
    <w:rsid w:val="529D0BF2"/>
    <w:rsid w:val="52A027A8"/>
    <w:rsid w:val="52A44D9A"/>
    <w:rsid w:val="52A45936"/>
    <w:rsid w:val="52C3145E"/>
    <w:rsid w:val="52C47010"/>
    <w:rsid w:val="52C85461"/>
    <w:rsid w:val="52F92FCD"/>
    <w:rsid w:val="52FD346F"/>
    <w:rsid w:val="5300425D"/>
    <w:rsid w:val="5303264D"/>
    <w:rsid w:val="5306054C"/>
    <w:rsid w:val="530665AC"/>
    <w:rsid w:val="53354E67"/>
    <w:rsid w:val="533B72B5"/>
    <w:rsid w:val="53447D6E"/>
    <w:rsid w:val="5358783C"/>
    <w:rsid w:val="53625338"/>
    <w:rsid w:val="5369579B"/>
    <w:rsid w:val="53695DFD"/>
    <w:rsid w:val="537A0365"/>
    <w:rsid w:val="537E4526"/>
    <w:rsid w:val="53AA1C45"/>
    <w:rsid w:val="53B312FF"/>
    <w:rsid w:val="53BA6F00"/>
    <w:rsid w:val="53BA78CC"/>
    <w:rsid w:val="53CE1D21"/>
    <w:rsid w:val="53E177AD"/>
    <w:rsid w:val="53E5717C"/>
    <w:rsid w:val="53E9716E"/>
    <w:rsid w:val="540238C8"/>
    <w:rsid w:val="5426136E"/>
    <w:rsid w:val="542852F1"/>
    <w:rsid w:val="543475CE"/>
    <w:rsid w:val="5438791A"/>
    <w:rsid w:val="544E3AC1"/>
    <w:rsid w:val="54543C00"/>
    <w:rsid w:val="546C5A48"/>
    <w:rsid w:val="546E650D"/>
    <w:rsid w:val="547126B1"/>
    <w:rsid w:val="547811F6"/>
    <w:rsid w:val="548C741B"/>
    <w:rsid w:val="54A207B4"/>
    <w:rsid w:val="54AC0435"/>
    <w:rsid w:val="54AE4294"/>
    <w:rsid w:val="54B82E3C"/>
    <w:rsid w:val="54BC43F2"/>
    <w:rsid w:val="54D61351"/>
    <w:rsid w:val="54D77774"/>
    <w:rsid w:val="54D8377E"/>
    <w:rsid w:val="54DE5439"/>
    <w:rsid w:val="55071064"/>
    <w:rsid w:val="551A3B70"/>
    <w:rsid w:val="553710BF"/>
    <w:rsid w:val="553B0659"/>
    <w:rsid w:val="554939FB"/>
    <w:rsid w:val="556B423C"/>
    <w:rsid w:val="55723C59"/>
    <w:rsid w:val="55744960"/>
    <w:rsid w:val="55745637"/>
    <w:rsid w:val="55777169"/>
    <w:rsid w:val="557B2DF7"/>
    <w:rsid w:val="558B62A2"/>
    <w:rsid w:val="558F3031"/>
    <w:rsid w:val="55914FE1"/>
    <w:rsid w:val="55B361CE"/>
    <w:rsid w:val="55BE2285"/>
    <w:rsid w:val="55BF7AF4"/>
    <w:rsid w:val="55CC2B72"/>
    <w:rsid w:val="55EA3FF1"/>
    <w:rsid w:val="55FA0BB7"/>
    <w:rsid w:val="560D195E"/>
    <w:rsid w:val="56174C13"/>
    <w:rsid w:val="561C3E7A"/>
    <w:rsid w:val="563D0060"/>
    <w:rsid w:val="567858E7"/>
    <w:rsid w:val="56973200"/>
    <w:rsid w:val="569D6FED"/>
    <w:rsid w:val="56A76BB8"/>
    <w:rsid w:val="56CB2EDC"/>
    <w:rsid w:val="56D3628E"/>
    <w:rsid w:val="56E00B72"/>
    <w:rsid w:val="56F23721"/>
    <w:rsid w:val="572A0F2D"/>
    <w:rsid w:val="572D2955"/>
    <w:rsid w:val="57610C29"/>
    <w:rsid w:val="577630B7"/>
    <w:rsid w:val="57890AE5"/>
    <w:rsid w:val="578D5B08"/>
    <w:rsid w:val="57997EF1"/>
    <w:rsid w:val="57B66972"/>
    <w:rsid w:val="57BB5A10"/>
    <w:rsid w:val="57C966EF"/>
    <w:rsid w:val="57D45349"/>
    <w:rsid w:val="57E221C3"/>
    <w:rsid w:val="57E25735"/>
    <w:rsid w:val="57F115BD"/>
    <w:rsid w:val="57F7F50D"/>
    <w:rsid w:val="57FC29E1"/>
    <w:rsid w:val="57FC7D21"/>
    <w:rsid w:val="57FF21A3"/>
    <w:rsid w:val="58036D61"/>
    <w:rsid w:val="580E4A01"/>
    <w:rsid w:val="581A72B5"/>
    <w:rsid w:val="58286FC7"/>
    <w:rsid w:val="58503880"/>
    <w:rsid w:val="58527AC6"/>
    <w:rsid w:val="5856207C"/>
    <w:rsid w:val="585B665C"/>
    <w:rsid w:val="585C0BC2"/>
    <w:rsid w:val="58741A53"/>
    <w:rsid w:val="588B182C"/>
    <w:rsid w:val="588B6F18"/>
    <w:rsid w:val="589231B7"/>
    <w:rsid w:val="58961BD4"/>
    <w:rsid w:val="58AB0894"/>
    <w:rsid w:val="58AF5484"/>
    <w:rsid w:val="58C02579"/>
    <w:rsid w:val="58F512F0"/>
    <w:rsid w:val="58F7053F"/>
    <w:rsid w:val="590C088C"/>
    <w:rsid w:val="59171E61"/>
    <w:rsid w:val="591B1209"/>
    <w:rsid w:val="591B2363"/>
    <w:rsid w:val="59223CBC"/>
    <w:rsid w:val="59291697"/>
    <w:rsid w:val="593629A0"/>
    <w:rsid w:val="593A4C9B"/>
    <w:rsid w:val="593F8CB0"/>
    <w:rsid w:val="59447AB7"/>
    <w:rsid w:val="594F6F31"/>
    <w:rsid w:val="595361C9"/>
    <w:rsid w:val="59634C9C"/>
    <w:rsid w:val="597D0AE9"/>
    <w:rsid w:val="597E7137"/>
    <w:rsid w:val="598B4E86"/>
    <w:rsid w:val="598C4A2D"/>
    <w:rsid w:val="599B4030"/>
    <w:rsid w:val="59A21D8B"/>
    <w:rsid w:val="59AC4D43"/>
    <w:rsid w:val="59C80CD6"/>
    <w:rsid w:val="59D47836"/>
    <w:rsid w:val="59DD72E6"/>
    <w:rsid w:val="59F30921"/>
    <w:rsid w:val="59F7616C"/>
    <w:rsid w:val="5A0B0707"/>
    <w:rsid w:val="5A0E0D8C"/>
    <w:rsid w:val="5A156FA0"/>
    <w:rsid w:val="5A5A4416"/>
    <w:rsid w:val="5A5C2D4A"/>
    <w:rsid w:val="5A5E12D9"/>
    <w:rsid w:val="5A6D199E"/>
    <w:rsid w:val="5AAC7CFF"/>
    <w:rsid w:val="5AAE1F57"/>
    <w:rsid w:val="5AAE233F"/>
    <w:rsid w:val="5AB64FBA"/>
    <w:rsid w:val="5AB773D1"/>
    <w:rsid w:val="5ADC119B"/>
    <w:rsid w:val="5ADC2D88"/>
    <w:rsid w:val="5B4965BC"/>
    <w:rsid w:val="5B4B1129"/>
    <w:rsid w:val="5B4E7B14"/>
    <w:rsid w:val="5B610520"/>
    <w:rsid w:val="5B6949C8"/>
    <w:rsid w:val="5B743F51"/>
    <w:rsid w:val="5B776E5C"/>
    <w:rsid w:val="5B8C7782"/>
    <w:rsid w:val="5BBAF9B9"/>
    <w:rsid w:val="5BCB1E7B"/>
    <w:rsid w:val="5BD572C8"/>
    <w:rsid w:val="5BE15724"/>
    <w:rsid w:val="5BE34637"/>
    <w:rsid w:val="5BF20CC4"/>
    <w:rsid w:val="5C01748C"/>
    <w:rsid w:val="5C074816"/>
    <w:rsid w:val="5C3139FC"/>
    <w:rsid w:val="5C592CDF"/>
    <w:rsid w:val="5C670E0D"/>
    <w:rsid w:val="5C730ADF"/>
    <w:rsid w:val="5C7C27DB"/>
    <w:rsid w:val="5C860EF9"/>
    <w:rsid w:val="5C9054CA"/>
    <w:rsid w:val="5C926918"/>
    <w:rsid w:val="5C963E09"/>
    <w:rsid w:val="5CA543C5"/>
    <w:rsid w:val="5CA71CB9"/>
    <w:rsid w:val="5CA76B97"/>
    <w:rsid w:val="5CAE0052"/>
    <w:rsid w:val="5CAF4810"/>
    <w:rsid w:val="5CE93D90"/>
    <w:rsid w:val="5D092679"/>
    <w:rsid w:val="5D241B34"/>
    <w:rsid w:val="5D2944AE"/>
    <w:rsid w:val="5D304784"/>
    <w:rsid w:val="5D4F6705"/>
    <w:rsid w:val="5D5B381C"/>
    <w:rsid w:val="5D6255E1"/>
    <w:rsid w:val="5D82618E"/>
    <w:rsid w:val="5D8A5D1A"/>
    <w:rsid w:val="5D8E0A0E"/>
    <w:rsid w:val="5D9050D1"/>
    <w:rsid w:val="5D985DBB"/>
    <w:rsid w:val="5DAE1929"/>
    <w:rsid w:val="5DFC1883"/>
    <w:rsid w:val="5DFE0553"/>
    <w:rsid w:val="5DFF4251"/>
    <w:rsid w:val="5E0F3C93"/>
    <w:rsid w:val="5E1F2CF4"/>
    <w:rsid w:val="5E2E5A9D"/>
    <w:rsid w:val="5E38222D"/>
    <w:rsid w:val="5E3E2ADC"/>
    <w:rsid w:val="5E460381"/>
    <w:rsid w:val="5E49299B"/>
    <w:rsid w:val="5E5D60CD"/>
    <w:rsid w:val="5E6006BB"/>
    <w:rsid w:val="5E6470E3"/>
    <w:rsid w:val="5E664ED4"/>
    <w:rsid w:val="5E7B5573"/>
    <w:rsid w:val="5E846176"/>
    <w:rsid w:val="5E8750A8"/>
    <w:rsid w:val="5E9A0FB3"/>
    <w:rsid w:val="5EA00A54"/>
    <w:rsid w:val="5EA01932"/>
    <w:rsid w:val="5EA621FB"/>
    <w:rsid w:val="5EAE1D16"/>
    <w:rsid w:val="5ED5376D"/>
    <w:rsid w:val="5EDC4287"/>
    <w:rsid w:val="5EDD3FB5"/>
    <w:rsid w:val="5EDD52AD"/>
    <w:rsid w:val="5EEF358B"/>
    <w:rsid w:val="5EF44CF2"/>
    <w:rsid w:val="5F103E8F"/>
    <w:rsid w:val="5F301FBA"/>
    <w:rsid w:val="5F407547"/>
    <w:rsid w:val="5F5D0772"/>
    <w:rsid w:val="5F5E302F"/>
    <w:rsid w:val="5F661DC3"/>
    <w:rsid w:val="5F77DCDC"/>
    <w:rsid w:val="5F7D1BBE"/>
    <w:rsid w:val="5F8F503F"/>
    <w:rsid w:val="5F931954"/>
    <w:rsid w:val="5F932EF9"/>
    <w:rsid w:val="5FA12093"/>
    <w:rsid w:val="5FA1465F"/>
    <w:rsid w:val="5FAD669D"/>
    <w:rsid w:val="5FB34AFD"/>
    <w:rsid w:val="5FDF019C"/>
    <w:rsid w:val="5FEA6A9B"/>
    <w:rsid w:val="5FEC5F07"/>
    <w:rsid w:val="60055A76"/>
    <w:rsid w:val="6019422E"/>
    <w:rsid w:val="601F027A"/>
    <w:rsid w:val="6021244E"/>
    <w:rsid w:val="60334010"/>
    <w:rsid w:val="6050707D"/>
    <w:rsid w:val="60703DCF"/>
    <w:rsid w:val="60853216"/>
    <w:rsid w:val="609475AF"/>
    <w:rsid w:val="609A2696"/>
    <w:rsid w:val="60B619C6"/>
    <w:rsid w:val="60BF3E80"/>
    <w:rsid w:val="60E67CBB"/>
    <w:rsid w:val="60EA3ED8"/>
    <w:rsid w:val="610E08A2"/>
    <w:rsid w:val="611F6D04"/>
    <w:rsid w:val="612A3364"/>
    <w:rsid w:val="612F59D6"/>
    <w:rsid w:val="613D52A1"/>
    <w:rsid w:val="614937D8"/>
    <w:rsid w:val="614C3484"/>
    <w:rsid w:val="61527488"/>
    <w:rsid w:val="61665686"/>
    <w:rsid w:val="616F3F1E"/>
    <w:rsid w:val="61966B9B"/>
    <w:rsid w:val="61AE095F"/>
    <w:rsid w:val="61C04F8A"/>
    <w:rsid w:val="61F4518A"/>
    <w:rsid w:val="61F834CD"/>
    <w:rsid w:val="624B35B7"/>
    <w:rsid w:val="62636DA1"/>
    <w:rsid w:val="626E3392"/>
    <w:rsid w:val="62775E8E"/>
    <w:rsid w:val="62790978"/>
    <w:rsid w:val="62812AC2"/>
    <w:rsid w:val="62844152"/>
    <w:rsid w:val="62904403"/>
    <w:rsid w:val="62935273"/>
    <w:rsid w:val="629748FC"/>
    <w:rsid w:val="62993955"/>
    <w:rsid w:val="629D564B"/>
    <w:rsid w:val="629F1A02"/>
    <w:rsid w:val="62BB384E"/>
    <w:rsid w:val="62BE7627"/>
    <w:rsid w:val="62D65F67"/>
    <w:rsid w:val="62F242A6"/>
    <w:rsid w:val="62FC628C"/>
    <w:rsid w:val="630852B7"/>
    <w:rsid w:val="63147E4F"/>
    <w:rsid w:val="6319442C"/>
    <w:rsid w:val="632C2C7D"/>
    <w:rsid w:val="63350771"/>
    <w:rsid w:val="633B7D2A"/>
    <w:rsid w:val="634466EF"/>
    <w:rsid w:val="635016D1"/>
    <w:rsid w:val="63512264"/>
    <w:rsid w:val="63557EA1"/>
    <w:rsid w:val="635A168E"/>
    <w:rsid w:val="635D5461"/>
    <w:rsid w:val="63730126"/>
    <w:rsid w:val="638F04A8"/>
    <w:rsid w:val="638F5FB7"/>
    <w:rsid w:val="63966AE4"/>
    <w:rsid w:val="63A40E74"/>
    <w:rsid w:val="63C35257"/>
    <w:rsid w:val="63CD3051"/>
    <w:rsid w:val="63E049AB"/>
    <w:rsid w:val="63E2786C"/>
    <w:rsid w:val="63EF1CF0"/>
    <w:rsid w:val="63FD6DFB"/>
    <w:rsid w:val="64002DBF"/>
    <w:rsid w:val="64053B2F"/>
    <w:rsid w:val="64250C97"/>
    <w:rsid w:val="642A534D"/>
    <w:rsid w:val="6440201F"/>
    <w:rsid w:val="64407831"/>
    <w:rsid w:val="644C15AE"/>
    <w:rsid w:val="64595E08"/>
    <w:rsid w:val="645C2896"/>
    <w:rsid w:val="646D4BA8"/>
    <w:rsid w:val="64776061"/>
    <w:rsid w:val="648E6DE6"/>
    <w:rsid w:val="64927521"/>
    <w:rsid w:val="6494434B"/>
    <w:rsid w:val="64AD08C4"/>
    <w:rsid w:val="64C20FC6"/>
    <w:rsid w:val="64C7103C"/>
    <w:rsid w:val="64D1186F"/>
    <w:rsid w:val="64DE5CBD"/>
    <w:rsid w:val="64FAE8E5"/>
    <w:rsid w:val="65171BCE"/>
    <w:rsid w:val="651A0D8D"/>
    <w:rsid w:val="651C5E2E"/>
    <w:rsid w:val="652B7284"/>
    <w:rsid w:val="652D4607"/>
    <w:rsid w:val="652E599B"/>
    <w:rsid w:val="6530080E"/>
    <w:rsid w:val="653766A8"/>
    <w:rsid w:val="65393F5E"/>
    <w:rsid w:val="654D1483"/>
    <w:rsid w:val="654D7773"/>
    <w:rsid w:val="655106F4"/>
    <w:rsid w:val="65526311"/>
    <w:rsid w:val="65723013"/>
    <w:rsid w:val="6581374C"/>
    <w:rsid w:val="65915DD1"/>
    <w:rsid w:val="659D4535"/>
    <w:rsid w:val="65C85942"/>
    <w:rsid w:val="65C91F15"/>
    <w:rsid w:val="65ED368A"/>
    <w:rsid w:val="65F6727F"/>
    <w:rsid w:val="65F8D506"/>
    <w:rsid w:val="662753FE"/>
    <w:rsid w:val="663540C5"/>
    <w:rsid w:val="66415E54"/>
    <w:rsid w:val="66455407"/>
    <w:rsid w:val="664A47C5"/>
    <w:rsid w:val="66601F46"/>
    <w:rsid w:val="6665301A"/>
    <w:rsid w:val="66696EC4"/>
    <w:rsid w:val="667D3559"/>
    <w:rsid w:val="668520F0"/>
    <w:rsid w:val="66857059"/>
    <w:rsid w:val="668B1DB9"/>
    <w:rsid w:val="668D41C6"/>
    <w:rsid w:val="668D6336"/>
    <w:rsid w:val="66A77594"/>
    <w:rsid w:val="66FA3FEE"/>
    <w:rsid w:val="6724DC25"/>
    <w:rsid w:val="673174B6"/>
    <w:rsid w:val="67382C69"/>
    <w:rsid w:val="6741229F"/>
    <w:rsid w:val="67541D64"/>
    <w:rsid w:val="675925C5"/>
    <w:rsid w:val="675C2340"/>
    <w:rsid w:val="676D6231"/>
    <w:rsid w:val="676E0465"/>
    <w:rsid w:val="676E765D"/>
    <w:rsid w:val="677473A1"/>
    <w:rsid w:val="677845E0"/>
    <w:rsid w:val="677F41B9"/>
    <w:rsid w:val="677F795E"/>
    <w:rsid w:val="678F4377"/>
    <w:rsid w:val="679FA721"/>
    <w:rsid w:val="67A2365F"/>
    <w:rsid w:val="67B54794"/>
    <w:rsid w:val="67B676F1"/>
    <w:rsid w:val="67BBD801"/>
    <w:rsid w:val="67CA31A8"/>
    <w:rsid w:val="67CE6192"/>
    <w:rsid w:val="67D908E1"/>
    <w:rsid w:val="67DD67BE"/>
    <w:rsid w:val="67FC10CC"/>
    <w:rsid w:val="67FF76F7"/>
    <w:rsid w:val="680C56F5"/>
    <w:rsid w:val="6811262B"/>
    <w:rsid w:val="68184452"/>
    <w:rsid w:val="681F6869"/>
    <w:rsid w:val="682C33E1"/>
    <w:rsid w:val="6870097D"/>
    <w:rsid w:val="687532FC"/>
    <w:rsid w:val="689C32CC"/>
    <w:rsid w:val="68A31CBE"/>
    <w:rsid w:val="68AA7E90"/>
    <w:rsid w:val="68AB26C9"/>
    <w:rsid w:val="68B33947"/>
    <w:rsid w:val="68BE5221"/>
    <w:rsid w:val="68F42BBE"/>
    <w:rsid w:val="69230F55"/>
    <w:rsid w:val="692E3E6D"/>
    <w:rsid w:val="69325D46"/>
    <w:rsid w:val="69442A18"/>
    <w:rsid w:val="695A5FD6"/>
    <w:rsid w:val="69634C57"/>
    <w:rsid w:val="697B0D11"/>
    <w:rsid w:val="697F221F"/>
    <w:rsid w:val="698F2F56"/>
    <w:rsid w:val="69AC3331"/>
    <w:rsid w:val="69C355C9"/>
    <w:rsid w:val="69C63089"/>
    <w:rsid w:val="69D603C7"/>
    <w:rsid w:val="69EB4F64"/>
    <w:rsid w:val="69F104EA"/>
    <w:rsid w:val="69FD6FD5"/>
    <w:rsid w:val="6A016A89"/>
    <w:rsid w:val="6A0F15EC"/>
    <w:rsid w:val="6A162FEC"/>
    <w:rsid w:val="6A16769F"/>
    <w:rsid w:val="6A1C3163"/>
    <w:rsid w:val="6A280484"/>
    <w:rsid w:val="6A38446C"/>
    <w:rsid w:val="6A3F1FE6"/>
    <w:rsid w:val="6A4A1228"/>
    <w:rsid w:val="6A55234B"/>
    <w:rsid w:val="6A5842BD"/>
    <w:rsid w:val="6A591E8F"/>
    <w:rsid w:val="6A707612"/>
    <w:rsid w:val="6A71063D"/>
    <w:rsid w:val="6A8131BB"/>
    <w:rsid w:val="6A830937"/>
    <w:rsid w:val="6A870B89"/>
    <w:rsid w:val="6A8A2C39"/>
    <w:rsid w:val="6A9559F1"/>
    <w:rsid w:val="6A9A1960"/>
    <w:rsid w:val="6AAF85E0"/>
    <w:rsid w:val="6AC75416"/>
    <w:rsid w:val="6AD246EE"/>
    <w:rsid w:val="6AE22FB9"/>
    <w:rsid w:val="6AEB52B1"/>
    <w:rsid w:val="6AF02403"/>
    <w:rsid w:val="6AF36DA8"/>
    <w:rsid w:val="6B007C09"/>
    <w:rsid w:val="6B1871EA"/>
    <w:rsid w:val="6B4378CC"/>
    <w:rsid w:val="6B6F28EB"/>
    <w:rsid w:val="6B7818D7"/>
    <w:rsid w:val="6B7D05DF"/>
    <w:rsid w:val="6BB0224F"/>
    <w:rsid w:val="6BEF451E"/>
    <w:rsid w:val="6BEF4DF5"/>
    <w:rsid w:val="6C2E02A0"/>
    <w:rsid w:val="6C412CB9"/>
    <w:rsid w:val="6C57738A"/>
    <w:rsid w:val="6C8A08E5"/>
    <w:rsid w:val="6C90293D"/>
    <w:rsid w:val="6CAE46EA"/>
    <w:rsid w:val="6CB57BD8"/>
    <w:rsid w:val="6CBB1E81"/>
    <w:rsid w:val="6CC63CEF"/>
    <w:rsid w:val="6CD305A3"/>
    <w:rsid w:val="6CF32211"/>
    <w:rsid w:val="6CFE06B0"/>
    <w:rsid w:val="6D0700F4"/>
    <w:rsid w:val="6D0C32FB"/>
    <w:rsid w:val="6D3C29C1"/>
    <w:rsid w:val="6D3CD4AB"/>
    <w:rsid w:val="6D444F99"/>
    <w:rsid w:val="6D4461DD"/>
    <w:rsid w:val="6D466160"/>
    <w:rsid w:val="6D4C1A83"/>
    <w:rsid w:val="6D536A39"/>
    <w:rsid w:val="6D6574CB"/>
    <w:rsid w:val="6D6E44C6"/>
    <w:rsid w:val="6D6F5CE2"/>
    <w:rsid w:val="6D79259B"/>
    <w:rsid w:val="6D7B30BC"/>
    <w:rsid w:val="6D7D7A89"/>
    <w:rsid w:val="6D7E7FD1"/>
    <w:rsid w:val="6D85645B"/>
    <w:rsid w:val="6D8E6F1E"/>
    <w:rsid w:val="6D905961"/>
    <w:rsid w:val="6DAC01F2"/>
    <w:rsid w:val="6DAF54A2"/>
    <w:rsid w:val="6DB16CB9"/>
    <w:rsid w:val="6DDF60DF"/>
    <w:rsid w:val="6DE4350D"/>
    <w:rsid w:val="6DE90F2F"/>
    <w:rsid w:val="6DFD28F2"/>
    <w:rsid w:val="6DFFE4FA"/>
    <w:rsid w:val="6E090659"/>
    <w:rsid w:val="6E1D00B9"/>
    <w:rsid w:val="6E236DDB"/>
    <w:rsid w:val="6E3B53FE"/>
    <w:rsid w:val="6E3C6A73"/>
    <w:rsid w:val="6E4122D6"/>
    <w:rsid w:val="6E43422A"/>
    <w:rsid w:val="6E5331DF"/>
    <w:rsid w:val="6E535948"/>
    <w:rsid w:val="6E663D29"/>
    <w:rsid w:val="6E663EB1"/>
    <w:rsid w:val="6EAF751E"/>
    <w:rsid w:val="6EB82DEC"/>
    <w:rsid w:val="6EB968C7"/>
    <w:rsid w:val="6EBD200D"/>
    <w:rsid w:val="6EC04D30"/>
    <w:rsid w:val="6ECE0704"/>
    <w:rsid w:val="6ED70230"/>
    <w:rsid w:val="6EEE389A"/>
    <w:rsid w:val="6EFFCD5D"/>
    <w:rsid w:val="6F0D4DE0"/>
    <w:rsid w:val="6F2412B1"/>
    <w:rsid w:val="6F2A43AC"/>
    <w:rsid w:val="6F301BE9"/>
    <w:rsid w:val="6F4E00EB"/>
    <w:rsid w:val="6F5502DA"/>
    <w:rsid w:val="6F5A5F44"/>
    <w:rsid w:val="6F6257D6"/>
    <w:rsid w:val="6F683216"/>
    <w:rsid w:val="6F836269"/>
    <w:rsid w:val="6F870ABC"/>
    <w:rsid w:val="6F894E45"/>
    <w:rsid w:val="6FA57965"/>
    <w:rsid w:val="6FAC3AAE"/>
    <w:rsid w:val="6FAF1503"/>
    <w:rsid w:val="6FB1544C"/>
    <w:rsid w:val="6FBD17D5"/>
    <w:rsid w:val="6FD9787A"/>
    <w:rsid w:val="6FDA0EFD"/>
    <w:rsid w:val="6FEFE771"/>
    <w:rsid w:val="6FFF19CC"/>
    <w:rsid w:val="7005567F"/>
    <w:rsid w:val="70213C03"/>
    <w:rsid w:val="70356EFF"/>
    <w:rsid w:val="704B2B69"/>
    <w:rsid w:val="705C0CDF"/>
    <w:rsid w:val="706418ED"/>
    <w:rsid w:val="70661B61"/>
    <w:rsid w:val="70661FBC"/>
    <w:rsid w:val="707053FA"/>
    <w:rsid w:val="707F7EB3"/>
    <w:rsid w:val="708A36B7"/>
    <w:rsid w:val="70914B9B"/>
    <w:rsid w:val="709E03E7"/>
    <w:rsid w:val="709E3EBE"/>
    <w:rsid w:val="70A74426"/>
    <w:rsid w:val="70AC0AEF"/>
    <w:rsid w:val="70BC44A4"/>
    <w:rsid w:val="70DB066E"/>
    <w:rsid w:val="70F2389D"/>
    <w:rsid w:val="71027D84"/>
    <w:rsid w:val="71062435"/>
    <w:rsid w:val="71071289"/>
    <w:rsid w:val="713142BC"/>
    <w:rsid w:val="7139679D"/>
    <w:rsid w:val="71502F65"/>
    <w:rsid w:val="717A28A5"/>
    <w:rsid w:val="718964CE"/>
    <w:rsid w:val="718E2F16"/>
    <w:rsid w:val="718F5233"/>
    <w:rsid w:val="7193102E"/>
    <w:rsid w:val="719814E3"/>
    <w:rsid w:val="71A34425"/>
    <w:rsid w:val="71DF5492"/>
    <w:rsid w:val="71EC4863"/>
    <w:rsid w:val="71F91277"/>
    <w:rsid w:val="72270F5A"/>
    <w:rsid w:val="7231184C"/>
    <w:rsid w:val="724F3CC2"/>
    <w:rsid w:val="727E3B55"/>
    <w:rsid w:val="728A359F"/>
    <w:rsid w:val="7298122E"/>
    <w:rsid w:val="72AB4292"/>
    <w:rsid w:val="72AC6E1D"/>
    <w:rsid w:val="72AE01D7"/>
    <w:rsid w:val="72B5428A"/>
    <w:rsid w:val="72B9678C"/>
    <w:rsid w:val="72C23ED9"/>
    <w:rsid w:val="72CE261B"/>
    <w:rsid w:val="73085755"/>
    <w:rsid w:val="732E17AA"/>
    <w:rsid w:val="73361BB6"/>
    <w:rsid w:val="733A16C8"/>
    <w:rsid w:val="73412013"/>
    <w:rsid w:val="73526522"/>
    <w:rsid w:val="73542822"/>
    <w:rsid w:val="736B6553"/>
    <w:rsid w:val="737C1D91"/>
    <w:rsid w:val="7396130F"/>
    <w:rsid w:val="73A27D7F"/>
    <w:rsid w:val="73A93D37"/>
    <w:rsid w:val="73B3AA2D"/>
    <w:rsid w:val="73D738DB"/>
    <w:rsid w:val="73DF6AF1"/>
    <w:rsid w:val="73E0314A"/>
    <w:rsid w:val="73E74DDA"/>
    <w:rsid w:val="73FFC6D1"/>
    <w:rsid w:val="74173B7C"/>
    <w:rsid w:val="742D0A6E"/>
    <w:rsid w:val="743048DB"/>
    <w:rsid w:val="74316B07"/>
    <w:rsid w:val="74480B19"/>
    <w:rsid w:val="744A46B7"/>
    <w:rsid w:val="745453E9"/>
    <w:rsid w:val="746375B8"/>
    <w:rsid w:val="74702E3A"/>
    <w:rsid w:val="7472709B"/>
    <w:rsid w:val="74794FBA"/>
    <w:rsid w:val="74D4398D"/>
    <w:rsid w:val="752D2A1C"/>
    <w:rsid w:val="75474BDE"/>
    <w:rsid w:val="75570484"/>
    <w:rsid w:val="75683597"/>
    <w:rsid w:val="756F6A2B"/>
    <w:rsid w:val="757122E7"/>
    <w:rsid w:val="7582521E"/>
    <w:rsid w:val="75883D61"/>
    <w:rsid w:val="75AF6441"/>
    <w:rsid w:val="75B45400"/>
    <w:rsid w:val="75CB0ADF"/>
    <w:rsid w:val="75D46609"/>
    <w:rsid w:val="75EA277F"/>
    <w:rsid w:val="75FD10F9"/>
    <w:rsid w:val="76007985"/>
    <w:rsid w:val="760731D7"/>
    <w:rsid w:val="761E2668"/>
    <w:rsid w:val="764C32ED"/>
    <w:rsid w:val="76555FFA"/>
    <w:rsid w:val="765B6137"/>
    <w:rsid w:val="766A19DB"/>
    <w:rsid w:val="767564F0"/>
    <w:rsid w:val="76844CB0"/>
    <w:rsid w:val="7687201B"/>
    <w:rsid w:val="76950578"/>
    <w:rsid w:val="76967551"/>
    <w:rsid w:val="76A70A64"/>
    <w:rsid w:val="76AF33FD"/>
    <w:rsid w:val="76BE2F64"/>
    <w:rsid w:val="76C315CA"/>
    <w:rsid w:val="76D57ED1"/>
    <w:rsid w:val="76E700EC"/>
    <w:rsid w:val="77090600"/>
    <w:rsid w:val="771A78FF"/>
    <w:rsid w:val="771C0347"/>
    <w:rsid w:val="771F2593"/>
    <w:rsid w:val="772A3305"/>
    <w:rsid w:val="774A67BF"/>
    <w:rsid w:val="774B76C4"/>
    <w:rsid w:val="7759F145"/>
    <w:rsid w:val="775E1D01"/>
    <w:rsid w:val="77712657"/>
    <w:rsid w:val="777B174E"/>
    <w:rsid w:val="77845A71"/>
    <w:rsid w:val="77914934"/>
    <w:rsid w:val="77977E8B"/>
    <w:rsid w:val="77A023C1"/>
    <w:rsid w:val="77A12539"/>
    <w:rsid w:val="77DF2A0C"/>
    <w:rsid w:val="77EC4A5F"/>
    <w:rsid w:val="783727A1"/>
    <w:rsid w:val="7846246E"/>
    <w:rsid w:val="784B1D17"/>
    <w:rsid w:val="78565093"/>
    <w:rsid w:val="786276B8"/>
    <w:rsid w:val="786C74D8"/>
    <w:rsid w:val="78835B36"/>
    <w:rsid w:val="789A613F"/>
    <w:rsid w:val="78AE4D73"/>
    <w:rsid w:val="78B0C43A"/>
    <w:rsid w:val="78C04E46"/>
    <w:rsid w:val="78C14E16"/>
    <w:rsid w:val="78D77CD2"/>
    <w:rsid w:val="78DE0DB8"/>
    <w:rsid w:val="78E24C24"/>
    <w:rsid w:val="79054652"/>
    <w:rsid w:val="791E1071"/>
    <w:rsid w:val="792542D1"/>
    <w:rsid w:val="7951648E"/>
    <w:rsid w:val="796F14EF"/>
    <w:rsid w:val="79726762"/>
    <w:rsid w:val="79737AEF"/>
    <w:rsid w:val="79747C21"/>
    <w:rsid w:val="797B1AFD"/>
    <w:rsid w:val="798C6215"/>
    <w:rsid w:val="79971B98"/>
    <w:rsid w:val="79AE0605"/>
    <w:rsid w:val="79D1487E"/>
    <w:rsid w:val="79FC36AA"/>
    <w:rsid w:val="7A30307F"/>
    <w:rsid w:val="7A3F796D"/>
    <w:rsid w:val="7A49D7F2"/>
    <w:rsid w:val="7A63F838"/>
    <w:rsid w:val="7A74778F"/>
    <w:rsid w:val="7A905B44"/>
    <w:rsid w:val="7A9D36EA"/>
    <w:rsid w:val="7ABB4C6C"/>
    <w:rsid w:val="7AC31D7D"/>
    <w:rsid w:val="7AC97C35"/>
    <w:rsid w:val="7AEF7F18"/>
    <w:rsid w:val="7B1773A4"/>
    <w:rsid w:val="7B2160EC"/>
    <w:rsid w:val="7B2A7B6B"/>
    <w:rsid w:val="7B317D1F"/>
    <w:rsid w:val="7B504D93"/>
    <w:rsid w:val="7B5B0819"/>
    <w:rsid w:val="7B663CD3"/>
    <w:rsid w:val="7B691579"/>
    <w:rsid w:val="7B9810CE"/>
    <w:rsid w:val="7BA92650"/>
    <w:rsid w:val="7BB575CB"/>
    <w:rsid w:val="7BC37311"/>
    <w:rsid w:val="7BD81807"/>
    <w:rsid w:val="7BE07506"/>
    <w:rsid w:val="7BE275CB"/>
    <w:rsid w:val="7BE3D943"/>
    <w:rsid w:val="7BE57969"/>
    <w:rsid w:val="7BF744EF"/>
    <w:rsid w:val="7C2D72AD"/>
    <w:rsid w:val="7C5008A7"/>
    <w:rsid w:val="7C815036"/>
    <w:rsid w:val="7C9E2357"/>
    <w:rsid w:val="7CA162CA"/>
    <w:rsid w:val="7CA514B7"/>
    <w:rsid w:val="7CAA5BE0"/>
    <w:rsid w:val="7CB36975"/>
    <w:rsid w:val="7CB373CA"/>
    <w:rsid w:val="7CBE5B86"/>
    <w:rsid w:val="7CC51EC6"/>
    <w:rsid w:val="7CD04A9D"/>
    <w:rsid w:val="7CD45B98"/>
    <w:rsid w:val="7CD8161C"/>
    <w:rsid w:val="7CDDE7A6"/>
    <w:rsid w:val="7CFB229D"/>
    <w:rsid w:val="7D031FA2"/>
    <w:rsid w:val="7D0546FA"/>
    <w:rsid w:val="7D4468D6"/>
    <w:rsid w:val="7D582B0A"/>
    <w:rsid w:val="7D795625"/>
    <w:rsid w:val="7D7D4E30"/>
    <w:rsid w:val="7D8F6B0A"/>
    <w:rsid w:val="7DAA7FAA"/>
    <w:rsid w:val="7DCF156C"/>
    <w:rsid w:val="7DF67B9C"/>
    <w:rsid w:val="7DFB3128"/>
    <w:rsid w:val="7DFDDD0A"/>
    <w:rsid w:val="7DFF5364"/>
    <w:rsid w:val="7E1044E4"/>
    <w:rsid w:val="7E1D132F"/>
    <w:rsid w:val="7E1F3706"/>
    <w:rsid w:val="7E337128"/>
    <w:rsid w:val="7E37198E"/>
    <w:rsid w:val="7E3E03B3"/>
    <w:rsid w:val="7E3F16A7"/>
    <w:rsid w:val="7E4325F3"/>
    <w:rsid w:val="7E460FD2"/>
    <w:rsid w:val="7E6D259D"/>
    <w:rsid w:val="7E83438D"/>
    <w:rsid w:val="7E9002D7"/>
    <w:rsid w:val="7E901C0C"/>
    <w:rsid w:val="7E930029"/>
    <w:rsid w:val="7E954E17"/>
    <w:rsid w:val="7EAA7757"/>
    <w:rsid w:val="7EAC697A"/>
    <w:rsid w:val="7EAF7068"/>
    <w:rsid w:val="7EB022A7"/>
    <w:rsid w:val="7EBB9CA5"/>
    <w:rsid w:val="7EC82EE2"/>
    <w:rsid w:val="7EE82F14"/>
    <w:rsid w:val="7EFC5378"/>
    <w:rsid w:val="7F2B199D"/>
    <w:rsid w:val="7F4743D0"/>
    <w:rsid w:val="7F5F87DD"/>
    <w:rsid w:val="7F611F3B"/>
    <w:rsid w:val="7F6421A6"/>
    <w:rsid w:val="7F7D9D8F"/>
    <w:rsid w:val="7F7E504B"/>
    <w:rsid w:val="7F84331F"/>
    <w:rsid w:val="7F87409A"/>
    <w:rsid w:val="7F976593"/>
    <w:rsid w:val="7FA524F6"/>
    <w:rsid w:val="7FAD04BC"/>
    <w:rsid w:val="7FAF07E5"/>
    <w:rsid w:val="7FC6440D"/>
    <w:rsid w:val="7FC8217C"/>
    <w:rsid w:val="7FCD0F01"/>
    <w:rsid w:val="7FCF1662"/>
    <w:rsid w:val="7FCF5EB3"/>
    <w:rsid w:val="7FCFBC6E"/>
    <w:rsid w:val="7FD47CC4"/>
    <w:rsid w:val="7FD800E0"/>
    <w:rsid w:val="7FDF5A47"/>
    <w:rsid w:val="7FEF0BD7"/>
    <w:rsid w:val="7FFFFFD3"/>
    <w:rsid w:val="9EDF2D72"/>
    <w:rsid w:val="A79E8542"/>
    <w:rsid w:val="A8E7DE17"/>
    <w:rsid w:val="A9DD2589"/>
    <w:rsid w:val="ADF3A487"/>
    <w:rsid w:val="AFF53B52"/>
    <w:rsid w:val="B3B34682"/>
    <w:rsid w:val="B5F3524A"/>
    <w:rsid w:val="B7E7B572"/>
    <w:rsid w:val="BEDF1D4A"/>
    <w:rsid w:val="BF964BD5"/>
    <w:rsid w:val="BFB77B26"/>
    <w:rsid w:val="BFFDD39A"/>
    <w:rsid w:val="BFFFF732"/>
    <w:rsid w:val="CD5F97F8"/>
    <w:rsid w:val="CFFC38B3"/>
    <w:rsid w:val="D17E13D8"/>
    <w:rsid w:val="D7EF8B9E"/>
    <w:rsid w:val="DB6774C8"/>
    <w:rsid w:val="DBFF90B1"/>
    <w:rsid w:val="DBFFD347"/>
    <w:rsid w:val="DDBAED41"/>
    <w:rsid w:val="DF6D66F7"/>
    <w:rsid w:val="DFCF8D8E"/>
    <w:rsid w:val="DFDC99B2"/>
    <w:rsid w:val="DFEF2B46"/>
    <w:rsid w:val="DFF99E2B"/>
    <w:rsid w:val="E1BF3CA5"/>
    <w:rsid w:val="E2F73C9E"/>
    <w:rsid w:val="E5DF601B"/>
    <w:rsid w:val="EB7178D0"/>
    <w:rsid w:val="EC7F0B97"/>
    <w:rsid w:val="EDDBCB55"/>
    <w:rsid w:val="EF7FBD7C"/>
    <w:rsid w:val="EFD7B81A"/>
    <w:rsid w:val="EFDF7B60"/>
    <w:rsid w:val="EFF78FBF"/>
    <w:rsid w:val="F2BFB81C"/>
    <w:rsid w:val="F2D756A7"/>
    <w:rsid w:val="F3F89250"/>
    <w:rsid w:val="F64E2320"/>
    <w:rsid w:val="F6EF4436"/>
    <w:rsid w:val="F7DF2442"/>
    <w:rsid w:val="F7F7FF8A"/>
    <w:rsid w:val="F7FFAC08"/>
    <w:rsid w:val="F8BE2F59"/>
    <w:rsid w:val="FB9BC094"/>
    <w:rsid w:val="FBC7BF32"/>
    <w:rsid w:val="FC37861E"/>
    <w:rsid w:val="FCBFC06D"/>
    <w:rsid w:val="FD6EBEE6"/>
    <w:rsid w:val="FDECE063"/>
    <w:rsid w:val="FE4DBE82"/>
    <w:rsid w:val="FE9FBF40"/>
    <w:rsid w:val="FF5C3D02"/>
    <w:rsid w:val="FF650956"/>
    <w:rsid w:val="FF7BB190"/>
    <w:rsid w:val="FF7E1072"/>
    <w:rsid w:val="FFDD10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rFonts w:ascii="Calibri" w:hAnsi="Calibri" w:cs="黑体"/>
      <w:b/>
      <w:bCs/>
      <w:kern w:val="44"/>
      <w:sz w:val="44"/>
    </w:rPr>
  </w:style>
  <w:style w:type="paragraph" w:styleId="4">
    <w:name w:val="heading 2"/>
    <w:basedOn w:val="1"/>
    <w:next w:val="1"/>
    <w:qFormat/>
    <w:uiPriority w:val="0"/>
    <w:pPr>
      <w:keepNext/>
      <w:keepLines/>
      <w:spacing w:before="0" w:beforeLines="0" w:beforeAutospacing="0" w:after="0" w:afterLines="0" w:afterAutospacing="0" w:line="413" w:lineRule="auto"/>
      <w:outlineLvl w:val="1"/>
    </w:pPr>
    <w:rPr>
      <w:rFonts w:ascii="Arial" w:hAnsi="Arial" w:eastAsia="黑体"/>
      <w:b/>
      <w:sz w:val="28"/>
    </w:rPr>
  </w:style>
  <w:style w:type="paragraph" w:styleId="5">
    <w:name w:val="heading 3"/>
    <w:basedOn w:val="1"/>
    <w:next w:val="1"/>
    <w:qFormat/>
    <w:uiPriority w:val="0"/>
    <w:pPr>
      <w:keepNext/>
      <w:keepLines/>
      <w:spacing w:before="0" w:beforeLines="0" w:beforeAutospacing="0" w:after="0" w:afterLines="0" w:afterAutospacing="0" w:line="413" w:lineRule="auto"/>
      <w:jc w:val="center"/>
      <w:outlineLvl w:val="2"/>
    </w:pPr>
    <w:rPr>
      <w:rFonts w:ascii="Times New Roman" w:hAnsi="Times New Roman" w:eastAsia="宋体"/>
      <w:b/>
      <w:sz w:val="28"/>
    </w:rPr>
  </w:style>
  <w:style w:type="character" w:default="1" w:styleId="17">
    <w:name w:val="Default Paragraph Font"/>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hint="eastAsia" w:ascii="方正仿宋简体" w:hAnsi="方正仿宋简体" w:eastAsia="方正仿宋简体" w:cs="Times New Roman"/>
      <w:color w:val="000000"/>
      <w:sz w:val="24"/>
      <w:szCs w:val="22"/>
      <w:lang w:val="en-US" w:eastAsia="zh-CN" w:bidi="ar-SA"/>
    </w:rPr>
  </w:style>
  <w:style w:type="paragraph" w:styleId="6">
    <w:name w:val="annotation text"/>
    <w:basedOn w:val="1"/>
    <w:qFormat/>
    <w:uiPriority w:val="0"/>
    <w:pPr>
      <w:jc w:val="left"/>
    </w:pPr>
    <w:rPr>
      <w:rFonts w:ascii="Calibri" w:hAnsi="Calibri"/>
    </w:rPr>
  </w:style>
  <w:style w:type="paragraph" w:styleId="7">
    <w:name w:val="Body Text"/>
    <w:basedOn w:val="1"/>
    <w:next w:val="8"/>
    <w:qFormat/>
    <w:uiPriority w:val="0"/>
    <w:pPr>
      <w:spacing w:before="10" w:after="0" w:line="240" w:lineRule="auto"/>
      <w:ind w:left="124"/>
      <w:jc w:val="left"/>
    </w:pPr>
    <w:rPr>
      <w:rFonts w:ascii="宋体" w:hAnsi="宋体" w:eastAsia="宋体" w:cstheme="minorBidi"/>
      <w:kern w:val="0"/>
      <w:sz w:val="29"/>
      <w:szCs w:val="29"/>
      <w:lang w:eastAsia="en-US"/>
    </w:rPr>
  </w:style>
  <w:style w:type="paragraph" w:styleId="8">
    <w:name w:val="Body Text First Indent"/>
    <w:basedOn w:val="7"/>
    <w:qFormat/>
    <w:uiPriority w:val="0"/>
    <w:pPr>
      <w:spacing w:before="0" w:after="0" w:line="500" w:lineRule="exact"/>
      <w:ind w:left="0" w:firstLine="420"/>
      <w:jc w:val="both"/>
    </w:pPr>
    <w:rPr>
      <w:rFonts w:ascii="Times New Roman" w:hAnsi="Times New Roman" w:eastAsia="宋体" w:cs="Times New Roman"/>
      <w:kern w:val="2"/>
      <w:sz w:val="28"/>
      <w:szCs w:val="24"/>
      <w:lang w:eastAsia="zh-CN"/>
    </w:rPr>
  </w:style>
  <w:style w:type="paragraph" w:styleId="9">
    <w:name w:val="Plain Text"/>
    <w:basedOn w:val="1"/>
    <w:qFormat/>
    <w:uiPriority w:val="0"/>
    <w:rPr>
      <w:rFonts w:ascii="宋体" w:hAnsi="Courier New" w:cs="Courier New"/>
      <w:szCs w:val="21"/>
    </w:rPr>
  </w:style>
  <w:style w:type="paragraph" w:styleId="10">
    <w:name w:val="Balloon Text"/>
    <w:basedOn w:val="1"/>
    <w:link w:val="36"/>
    <w:qFormat/>
    <w:uiPriority w:val="0"/>
    <w:pPr>
      <w:spacing w:after="0" w:line="240" w:lineRule="auto"/>
      <w:jc w:val="left"/>
    </w:pPr>
    <w:rPr>
      <w:rFonts w:asciiTheme="minorHAnsi" w:hAnsiTheme="minorHAnsi" w:eastAsiaTheme="minorHAnsi" w:cstheme="minorBidi"/>
      <w:kern w:val="0"/>
      <w:sz w:val="18"/>
      <w:szCs w:val="18"/>
      <w:lang w:eastAsia="en-US"/>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after="0" w:line="240" w:lineRule="auto"/>
      <w:jc w:val="both"/>
      <w:outlineLvl w:val="9"/>
    </w:pPr>
    <w:rPr>
      <w:rFonts w:asciiTheme="minorHAnsi" w:hAnsiTheme="minorHAnsi" w:eastAsiaTheme="minorHAnsi" w:cstheme="minorBidi"/>
      <w:kern w:val="0"/>
      <w:sz w:val="18"/>
      <w:szCs w:val="22"/>
      <w:lang w:eastAsia="en-US"/>
    </w:rPr>
  </w:style>
  <w:style w:type="paragraph" w:styleId="13">
    <w:name w:val="toc 2"/>
    <w:basedOn w:val="1"/>
    <w:next w:val="1"/>
    <w:qFormat/>
    <w:uiPriority w:val="0"/>
    <w:pPr>
      <w:ind w:left="420" w:leftChars="200"/>
    </w:pPr>
    <w:rPr>
      <w:rFonts w:ascii="Calibri" w:hAnsi="Calibri" w:eastAsia="宋体"/>
    </w:rPr>
  </w:style>
  <w:style w:type="paragraph" w:styleId="14">
    <w:name w:val="Normal (Web)"/>
    <w:basedOn w:val="1"/>
    <w:qFormat/>
    <w:uiPriority w:val="0"/>
    <w:pPr>
      <w:widowControl/>
      <w:spacing w:before="100" w:beforeAutospacing="1" w:after="100" w:afterAutospacing="1" w:line="240" w:lineRule="auto"/>
      <w:jc w:val="left"/>
    </w:pPr>
    <w:rPr>
      <w:rFonts w:ascii="宋体" w:hAnsi="宋体" w:eastAsia="宋体" w:cs="宋体"/>
      <w:kern w:val="0"/>
      <w:sz w:val="24"/>
      <w:szCs w:val="22"/>
      <w:lang w:eastAsia="en-US"/>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Strong"/>
    <w:basedOn w:val="17"/>
    <w:qFormat/>
    <w:uiPriority w:val="0"/>
    <w:rPr>
      <w:rFonts w:ascii="Times New Roman" w:hAnsi="Times New Roman" w:eastAsia="宋体" w:cs="Times New Roman"/>
      <w:b/>
    </w:rPr>
  </w:style>
  <w:style w:type="character" w:styleId="19">
    <w:name w:val="page number"/>
    <w:basedOn w:val="17"/>
    <w:qFormat/>
    <w:uiPriority w:val="0"/>
    <w:rPr>
      <w:rFonts w:ascii="Times New Roman" w:hAnsi="Times New Roman" w:eastAsia="宋体" w:cs="Times New Roman"/>
    </w:rPr>
  </w:style>
  <w:style w:type="character" w:styleId="20">
    <w:name w:val="FollowedHyperlink"/>
    <w:basedOn w:val="17"/>
    <w:qFormat/>
    <w:uiPriority w:val="0"/>
    <w:rPr>
      <w:rFonts w:ascii="Times New Roman" w:hAnsi="Times New Roman" w:eastAsia="宋体" w:cs="Times New Roman"/>
      <w:color w:val="005C81"/>
      <w:u w:val="none"/>
    </w:rPr>
  </w:style>
  <w:style w:type="character" w:styleId="21">
    <w:name w:val="Emphasis"/>
    <w:basedOn w:val="17"/>
    <w:qFormat/>
    <w:uiPriority w:val="0"/>
    <w:rPr>
      <w:rFonts w:ascii="Times New Roman" w:hAnsi="Times New Roman" w:eastAsia="宋体" w:cs="Times New Roman"/>
    </w:rPr>
  </w:style>
  <w:style w:type="character" w:styleId="22">
    <w:name w:val="Hyperlink"/>
    <w:basedOn w:val="17"/>
    <w:qFormat/>
    <w:uiPriority w:val="0"/>
    <w:rPr>
      <w:rFonts w:ascii="Times New Roman" w:hAnsi="Times New Roman" w:eastAsia="宋体" w:cs="Times New Roman"/>
      <w:color w:val="0000FF"/>
      <w:u w:val="single"/>
    </w:rPr>
  </w:style>
  <w:style w:type="character" w:styleId="23">
    <w:name w:val="HTML Code"/>
    <w:qFormat/>
    <w:uiPriority w:val="0"/>
    <w:rPr>
      <w:rFonts w:ascii="Courier New" w:hAnsi="Courier New" w:eastAsia="宋体" w:cs="Times New Roman"/>
      <w:sz w:val="20"/>
    </w:rPr>
  </w:style>
  <w:style w:type="paragraph" w:styleId="24">
    <w:name w:val="List Paragraph"/>
    <w:basedOn w:val="1"/>
    <w:semiHidden/>
    <w:unhideWhenUsed/>
    <w:qFormat/>
    <w:uiPriority w:val="99"/>
    <w:pPr>
      <w:spacing w:after="0" w:line="240" w:lineRule="auto"/>
      <w:ind w:firstLine="420" w:firstLineChars="200"/>
      <w:jc w:val="left"/>
    </w:pPr>
    <w:rPr>
      <w:rFonts w:asciiTheme="minorHAnsi" w:hAnsiTheme="minorHAnsi" w:eastAsiaTheme="minorHAnsi" w:cstheme="minorBidi"/>
      <w:kern w:val="0"/>
      <w:sz w:val="22"/>
      <w:szCs w:val="22"/>
      <w:lang w:eastAsia="en-US"/>
    </w:rPr>
  </w:style>
  <w:style w:type="paragraph" w:customStyle="1" w:styleId="25">
    <w:name w:val="正文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26">
    <w:name w:val="font61"/>
    <w:basedOn w:val="17"/>
    <w:qFormat/>
    <w:uiPriority w:val="0"/>
    <w:rPr>
      <w:rFonts w:hint="eastAsia" w:ascii="仿宋_GB2312" w:hAnsi="Times New Roman" w:eastAsia="仿宋_GB2312" w:cs="仿宋_GB2312"/>
      <w:color w:val="000000"/>
      <w:sz w:val="24"/>
      <w:szCs w:val="24"/>
      <w:u w:val="none"/>
    </w:rPr>
  </w:style>
  <w:style w:type="character" w:customStyle="1" w:styleId="27">
    <w:name w:val="font101"/>
    <w:basedOn w:val="17"/>
    <w:qFormat/>
    <w:uiPriority w:val="0"/>
    <w:rPr>
      <w:rFonts w:hint="default" w:ascii="Times New Roman" w:hAnsi="Times New Roman" w:eastAsia="宋体" w:cs="Times New Roman"/>
      <w:color w:val="000000"/>
      <w:sz w:val="24"/>
      <w:szCs w:val="24"/>
      <w:u w:val="none"/>
    </w:rPr>
  </w:style>
  <w:style w:type="character" w:customStyle="1" w:styleId="28">
    <w:name w:val="font01"/>
    <w:basedOn w:val="17"/>
    <w:qFormat/>
    <w:uiPriority w:val="0"/>
    <w:rPr>
      <w:rFonts w:hint="eastAsia" w:ascii="宋体" w:hAnsi="宋体" w:eastAsia="宋体" w:cs="宋体"/>
      <w:b/>
      <w:color w:val="000000"/>
      <w:sz w:val="18"/>
      <w:szCs w:val="18"/>
      <w:u w:val="none"/>
    </w:rPr>
  </w:style>
  <w:style w:type="character" w:customStyle="1" w:styleId="29">
    <w:name w:val="font51"/>
    <w:basedOn w:val="17"/>
    <w:qFormat/>
    <w:uiPriority w:val="0"/>
    <w:rPr>
      <w:rFonts w:hint="eastAsia" w:ascii="宋体" w:hAnsi="宋体" w:eastAsia="宋体" w:cs="宋体"/>
      <w:color w:val="000000"/>
      <w:sz w:val="18"/>
      <w:szCs w:val="18"/>
      <w:u w:val="none"/>
    </w:rPr>
  </w:style>
  <w:style w:type="character" w:customStyle="1" w:styleId="30">
    <w:name w:val="font91"/>
    <w:basedOn w:val="17"/>
    <w:qFormat/>
    <w:uiPriority w:val="0"/>
    <w:rPr>
      <w:rFonts w:hint="eastAsia" w:ascii="宋体" w:hAnsi="宋体" w:eastAsia="宋体" w:cs="宋体"/>
      <w:b/>
      <w:color w:val="000000"/>
      <w:sz w:val="18"/>
      <w:szCs w:val="18"/>
      <w:u w:val="none"/>
    </w:rPr>
  </w:style>
  <w:style w:type="character" w:customStyle="1" w:styleId="31">
    <w:name w:val="font21"/>
    <w:basedOn w:val="17"/>
    <w:qFormat/>
    <w:uiPriority w:val="0"/>
    <w:rPr>
      <w:rFonts w:hint="eastAsia" w:ascii="宋体" w:hAnsi="宋体" w:eastAsia="宋体" w:cs="宋体"/>
      <w:b/>
      <w:color w:val="000000"/>
      <w:sz w:val="24"/>
      <w:szCs w:val="24"/>
      <w:u w:val="none"/>
    </w:rPr>
  </w:style>
  <w:style w:type="character" w:customStyle="1" w:styleId="32">
    <w:name w:val="font31"/>
    <w:basedOn w:val="17"/>
    <w:qFormat/>
    <w:uiPriority w:val="0"/>
    <w:rPr>
      <w:rFonts w:hint="default" w:ascii="Times New Roman" w:hAnsi="Times New Roman" w:eastAsia="宋体" w:cs="Times New Roman"/>
      <w:b/>
      <w:color w:val="000000"/>
      <w:sz w:val="18"/>
      <w:szCs w:val="18"/>
      <w:u w:val="none"/>
    </w:rPr>
  </w:style>
  <w:style w:type="character" w:customStyle="1" w:styleId="33">
    <w:name w:val="font71"/>
    <w:basedOn w:val="17"/>
    <w:qFormat/>
    <w:uiPriority w:val="0"/>
    <w:rPr>
      <w:rFonts w:hint="eastAsia" w:ascii="宋体" w:hAnsi="宋体" w:eastAsia="宋体" w:cs="宋体"/>
      <w:color w:val="000000"/>
      <w:sz w:val="18"/>
      <w:szCs w:val="18"/>
      <w:u w:val="none"/>
    </w:rPr>
  </w:style>
  <w:style w:type="character" w:customStyle="1" w:styleId="34">
    <w:name w:val="font112"/>
    <w:basedOn w:val="17"/>
    <w:qFormat/>
    <w:uiPriority w:val="0"/>
    <w:rPr>
      <w:rFonts w:hint="eastAsia" w:ascii="宋体" w:hAnsi="宋体" w:eastAsia="宋体" w:cs="宋体"/>
      <w:color w:val="000000"/>
      <w:sz w:val="24"/>
      <w:szCs w:val="24"/>
      <w:u w:val="none"/>
    </w:rPr>
  </w:style>
  <w:style w:type="character" w:customStyle="1" w:styleId="35">
    <w:name w:val="font81"/>
    <w:basedOn w:val="17"/>
    <w:qFormat/>
    <w:uiPriority w:val="0"/>
    <w:rPr>
      <w:rFonts w:ascii="Arial" w:hAnsi="Arial" w:eastAsia="宋体" w:cs="Arial"/>
      <w:color w:val="000000"/>
      <w:sz w:val="24"/>
      <w:szCs w:val="24"/>
      <w:u w:val="none"/>
    </w:rPr>
  </w:style>
  <w:style w:type="character" w:customStyle="1" w:styleId="36">
    <w:name w:val="批注框文本 Char"/>
    <w:link w:val="10"/>
    <w:qFormat/>
    <w:uiPriority w:val="0"/>
    <w:rPr>
      <w:rFonts w:asciiTheme="minorHAnsi" w:hAnsiTheme="minorHAnsi" w:eastAsiaTheme="minorHAnsi" w:cstheme="minorBidi"/>
      <w:kern w:val="0"/>
      <w:sz w:val="18"/>
      <w:szCs w:val="18"/>
      <w:lang w:eastAsia="en-US"/>
    </w:rPr>
  </w:style>
  <w:style w:type="character" w:customStyle="1" w:styleId="37">
    <w:name w:val="font1"/>
    <w:basedOn w:val="17"/>
    <w:qFormat/>
    <w:uiPriority w:val="0"/>
    <w:rPr>
      <w:rFonts w:ascii="Times New Roman" w:hAnsi="Times New Roman" w:eastAsia="宋体" w:cs="Times New Roman"/>
    </w:rPr>
  </w:style>
  <w:style w:type="character" w:customStyle="1" w:styleId="38">
    <w:name w:val="gwds_nopic1"/>
    <w:basedOn w:val="17"/>
    <w:qFormat/>
    <w:uiPriority w:val="0"/>
    <w:rPr>
      <w:rFonts w:ascii="Times New Roman" w:hAnsi="Times New Roman" w:eastAsia="宋体" w:cs="Times New Roman"/>
    </w:rPr>
  </w:style>
  <w:style w:type="character" w:customStyle="1" w:styleId="39">
    <w:name w:val="tabg"/>
    <w:qFormat/>
    <w:uiPriority w:val="0"/>
    <w:rPr>
      <w:rFonts w:ascii="Times New Roman" w:hAnsi="Times New Roman" w:eastAsia="宋体" w:cs="Times New Roman"/>
      <w:color w:val="FFFFFF"/>
      <w:sz w:val="27"/>
      <w:szCs w:val="27"/>
    </w:rPr>
  </w:style>
  <w:style w:type="character" w:customStyle="1" w:styleId="40">
    <w:name w:val="bg01"/>
    <w:basedOn w:val="17"/>
    <w:qFormat/>
    <w:uiPriority w:val="0"/>
    <w:rPr>
      <w:rFonts w:ascii="Times New Roman" w:hAnsi="Times New Roman" w:eastAsia="宋体" w:cs="Times New Roman"/>
    </w:rPr>
  </w:style>
  <w:style w:type="character" w:customStyle="1" w:styleId="41">
    <w:name w:val="laypage_curr"/>
    <w:qFormat/>
    <w:uiPriority w:val="0"/>
    <w:rPr>
      <w:rFonts w:ascii="Times New Roman" w:hAnsi="Times New Roman" w:eastAsia="宋体" w:cs="Times New Roman"/>
      <w:color w:val="FFFDF4"/>
      <w:shd w:val="clear" w:color="auto" w:fill="0B67A6"/>
    </w:rPr>
  </w:style>
  <w:style w:type="character" w:customStyle="1" w:styleId="42">
    <w:name w:val="font"/>
    <w:basedOn w:val="17"/>
    <w:qFormat/>
    <w:uiPriority w:val="0"/>
    <w:rPr>
      <w:rFonts w:ascii="Times New Roman" w:hAnsi="Times New Roman" w:eastAsia="宋体" w:cs="Times New Roman"/>
    </w:rPr>
  </w:style>
  <w:style w:type="character" w:customStyle="1" w:styleId="43">
    <w:name w:val="m01"/>
    <w:basedOn w:val="17"/>
    <w:qFormat/>
    <w:uiPriority w:val="0"/>
    <w:rPr>
      <w:rFonts w:ascii="Times New Roman" w:hAnsi="Times New Roman" w:eastAsia="宋体" w:cs="Times New Roman"/>
    </w:rPr>
  </w:style>
  <w:style w:type="character" w:customStyle="1" w:styleId="44">
    <w:name w:val="more4"/>
    <w:qFormat/>
    <w:uiPriority w:val="0"/>
    <w:rPr>
      <w:rFonts w:ascii="Times New Roman" w:hAnsi="Times New Roman" w:eastAsia="宋体" w:cs="Times New Roman"/>
      <w:color w:val="666666"/>
      <w:sz w:val="18"/>
      <w:szCs w:val="18"/>
    </w:rPr>
  </w:style>
  <w:style w:type="character" w:customStyle="1" w:styleId="45">
    <w:name w:val="gwds_nopic"/>
    <w:basedOn w:val="17"/>
    <w:qFormat/>
    <w:uiPriority w:val="0"/>
    <w:rPr>
      <w:rFonts w:ascii="Times New Roman" w:hAnsi="Times New Roman" w:eastAsia="宋体" w:cs="Times New Roman"/>
    </w:rPr>
  </w:style>
  <w:style w:type="character" w:customStyle="1" w:styleId="46">
    <w:name w:val="gwds_nopic2"/>
    <w:basedOn w:val="17"/>
    <w:qFormat/>
    <w:uiPriority w:val="0"/>
    <w:rPr>
      <w:rFonts w:ascii="Times New Roman" w:hAnsi="Times New Roman" w:eastAsia="宋体" w:cs="Times New Roman"/>
    </w:rPr>
  </w:style>
  <w:style w:type="character" w:customStyle="1" w:styleId="47">
    <w:name w:val="bg02"/>
    <w:basedOn w:val="17"/>
    <w:qFormat/>
    <w:uiPriority w:val="0"/>
    <w:rPr>
      <w:rFonts w:ascii="Times New Roman" w:hAnsi="Times New Roman" w:eastAsia="宋体" w:cs="Times New Roman"/>
    </w:rPr>
  </w:style>
  <w:style w:type="character" w:customStyle="1" w:styleId="48">
    <w:name w:val="dates"/>
    <w:basedOn w:val="17"/>
    <w:qFormat/>
    <w:uiPriority w:val="0"/>
    <w:rPr>
      <w:rFonts w:ascii="Times New Roman" w:hAnsi="Times New Roman" w:eastAsia="宋体" w:cs="Times New Roman"/>
    </w:rPr>
  </w:style>
  <w:style w:type="character" w:customStyle="1" w:styleId="49">
    <w:name w:val="m011"/>
    <w:basedOn w:val="17"/>
    <w:qFormat/>
    <w:uiPriority w:val="0"/>
    <w:rPr>
      <w:rFonts w:ascii="Times New Roman" w:hAnsi="Times New Roman" w:eastAsia="宋体" w:cs="Times New Roman"/>
    </w:rPr>
  </w:style>
  <w:style w:type="character" w:customStyle="1" w:styleId="50">
    <w:name w:val="name"/>
    <w:qFormat/>
    <w:uiPriority w:val="0"/>
    <w:rPr>
      <w:rFonts w:ascii="Times New Roman" w:hAnsi="Times New Roman" w:eastAsia="宋体" w:cs="Times New Roman"/>
      <w:color w:val="6A6A6A"/>
      <w:u w:val="single"/>
    </w:rPr>
  </w:style>
  <w:style w:type="paragraph" w:customStyle="1" w:styleId="51">
    <w:name w:val="p0"/>
    <w:basedOn w:val="1"/>
    <w:qFormat/>
    <w:uiPriority w:val="0"/>
    <w:pPr>
      <w:widowControl/>
    </w:pPr>
    <w:rPr>
      <w:rFonts w:ascii="Times New Roman" w:hAnsi="Times New Roman" w:eastAsia="宋体" w:cs="Times New Roman"/>
      <w:kern w:val="0"/>
      <w:szCs w:val="21"/>
    </w:rPr>
  </w:style>
  <w:style w:type="paragraph" w:customStyle="1" w:styleId="52">
    <w:name w:val="正文 New New New New New"/>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customStyle="1" w:styleId="53">
    <w:name w:val="2312:正文(缩进)"/>
    <w:basedOn w:val="54"/>
    <w:qFormat/>
    <w:uiPriority w:val="0"/>
    <w:pPr>
      <w:ind w:firstLine="640" w:firstLineChars="200"/>
      <w:jc w:val="both"/>
    </w:pPr>
    <w:rPr>
      <w:rFonts w:ascii="Times New Roman" w:hAnsi="Times New Roman"/>
    </w:rPr>
  </w:style>
  <w:style w:type="paragraph" w:customStyle="1" w:styleId="54">
    <w:name w:val="2312:正文"/>
    <w:qFormat/>
    <w:uiPriority w:val="0"/>
    <w:pPr>
      <w:spacing w:line="600" w:lineRule="exact"/>
      <w:jc w:val="both"/>
    </w:pPr>
    <w:rPr>
      <w:rFonts w:ascii="Times New Roman" w:hAnsi="Times New Roman" w:eastAsia="仿宋_GB2312" w:cs="Times New Roman"/>
      <w:sz w:val="32"/>
      <w:szCs w:val="32"/>
    </w:rPr>
  </w:style>
  <w:style w:type="paragraph" w:customStyle="1" w:styleId="55">
    <w:name w:val=" Char"/>
    <w:basedOn w:val="1"/>
    <w:qFormat/>
    <w:uiPriority w:val="0"/>
    <w:pPr>
      <w:widowControl/>
      <w:spacing w:after="160" w:afterLines="0" w:line="240" w:lineRule="exact"/>
      <w:jc w:val="left"/>
    </w:pPr>
    <w:rPr>
      <w:rFonts w:ascii="Times New Roman" w:hAnsi="Times New Roman" w:eastAsia="宋体" w:cs="Times New Roman"/>
    </w:rPr>
  </w:style>
  <w:style w:type="paragraph" w:customStyle="1" w:styleId="56">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7">
    <w:name w:val="正文 New New"/>
    <w:qFormat/>
    <w:uiPriority w:val="0"/>
    <w:pPr>
      <w:widowControl w:val="0"/>
      <w:jc w:val="both"/>
    </w:pPr>
    <w:rPr>
      <w:rFonts w:ascii="Times New Roman" w:hAnsi="Times New Roman" w:eastAsia="仿宋_GB2312" w:cs="Times New Roman"/>
      <w:kern w:val="2"/>
      <w:sz w:val="32"/>
      <w:szCs w:val="32"/>
      <w:lang w:val="en-US" w:eastAsia="zh-CN"/>
    </w:rPr>
  </w:style>
  <w:style w:type="paragraph" w:customStyle="1" w:styleId="58">
    <w:name w:val="公文:正文(缩进)"/>
    <w:basedOn w:val="1"/>
    <w:qFormat/>
    <w:uiPriority w:val="0"/>
    <w:pPr>
      <w:spacing w:line="600" w:lineRule="exact"/>
      <w:ind w:firstLine="640" w:firstLineChars="200"/>
    </w:pPr>
    <w:rPr>
      <w:rFonts w:ascii="Times New Roman" w:hAnsi="Times New Roman" w:eastAsia="仿宋" w:cs="Times New Roman"/>
      <w:sz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省社会保险基金管理局</Company>
  <Pages>1</Pages>
  <Words>0</Words>
  <Characters>0</Characters>
  <Lines>0</Lines>
  <Paragraphs>0</Paragraphs>
  <TotalTime>23</TotalTime>
  <ScaleCrop>false</ScaleCrop>
  <LinksUpToDate>false</LinksUpToDate>
  <CharactersWithSpaces>0</CharactersWithSpaces>
  <Application>WPS Office_11.8.2.11653_F1E327BC-269C-435d-A152-05C5408002CA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2019-08-19T10:14:00Z</dcterms:created>
  <dc:creator>Lenovo</dc:creator>
  <cp:lastModifiedBy>黎翠芳（借用）</cp:lastModifiedBy>
  <cp:lastPrinted>2022-06-11T17:56:00Z</cp:lastPrinted>
  <dcterms:modified xsi:type="dcterms:W3CDTF">2025-03-05T16:56:43Z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2052-11.8.2.11653</vt:lpwstr>
  </property>
  <property fmtid="{D5CDD505-2E9C-101B-9397-08002B2CF9AE}" pid="3" name="btnFileSaveAsFlag">
    <vt:lpwstr>0</vt:lpwstr>
  </property>
  <property fmtid="{D5CDD505-2E9C-101B-9397-08002B2CF9AE}" pid="4" name="btnFileSaveFlag">
    <vt:lpwstr>1</vt:lpwstr>
  </property>
  <property fmtid="{D5CDD505-2E9C-101B-9397-08002B2CF9AE}" pid="5" name="code20">
    <vt:lpwstr>0734umzifqajk90ms1q1vv</vt:lpwstr>
  </property>
  <property fmtid="{D5CDD505-2E9C-101B-9397-08002B2CF9AE}" pid="6" name="codetype">
    <vt:lpwstr>encrypt</vt:lpwstr>
  </property>
  <property fmtid="{D5CDD505-2E9C-101B-9397-08002B2CF9AE}" pid="7" name="cp_browser">
    <vt:lpwstr>chrome</vt:lpwstr>
  </property>
  <property fmtid="{D5CDD505-2E9C-101B-9397-08002B2CF9AE}" pid="8" name="cp_itemId">
    <vt:i4>324324</vt:i4>
  </property>
  <property fmtid="{D5CDD505-2E9C-101B-9397-08002B2CF9AE}" pid="9" name="cp_itemType">
    <vt:lpwstr>missive</vt:lpwstr>
  </property>
  <property fmtid="{D5CDD505-2E9C-101B-9397-08002B2CF9AE}" pid="10" name="cp_title">
    <vt:lpwstr>广东省医疗保障局关于《广东省零售药店医疗保障定点管理暂行办法（征求意见稿）》公开征求意见公示</vt:lpwstr>
  </property>
  <property fmtid="{D5CDD505-2E9C-101B-9397-08002B2CF9AE}" pid="11" name="docPrint">
    <vt:i4>1</vt:i4>
  </property>
  <property fmtid="{D5CDD505-2E9C-101B-9397-08002B2CF9AE}" pid="12" name="docSaveAs">
    <vt:i4>1</vt:i4>
  </property>
  <property fmtid="{D5CDD505-2E9C-101B-9397-08002B2CF9AE}" pid="13" name="hideWpsMarks">
    <vt:i4>0</vt:i4>
  </property>
  <property fmtid="{D5CDD505-2E9C-101B-9397-08002B2CF9AE}" pid="14" name="openType">
    <vt:lpwstr>1</vt:lpwstr>
  </property>
  <property fmtid="{D5CDD505-2E9C-101B-9397-08002B2CF9AE}" pid="15" name="openFlag">
    <vt:bool>true</vt:bool>
  </property>
  <property fmtid="{D5CDD505-2E9C-101B-9397-08002B2CF9AE}" pid="16" name="showButton">
    <vt:lpwstr>WPSExtOfficeTab;btnShowRevision;btnUploadOA;btnSaveAsLocal</vt:lpwstr>
  </property>
  <property fmtid="{D5CDD505-2E9C-101B-9397-08002B2CF9AE}" pid="17" name="uploadPath">
    <vt:lpwstr>https://xtbgsafe.gdzwfw.gov.cn/szoa/instance-web/minstone/wfDocBody/saveDocBodyWps?flowInid=324324&amp;stepInco=5359476&amp;dealIndx=0&amp;openType=1&amp;flowId=150&amp;stepCode=365&amp;readOnly=0&amp;curUserCode=13719295113&amp;sysCode=MD_YBJ_OA&amp;tenantCode=GDSXXZX&amp;r=0.9930724960884267&amp;fileCode=17d60d850be34287874fe2dd5c9399fd&amp;id=17d60d850be34287874fe2dd5c9399fd&amp;docTempCode=&amp;userUuid=bd09a96f438f4c879583a14e7df26914</vt:lpwstr>
  </property>
  <property fmtid="{D5CDD505-2E9C-101B-9397-08002B2CF9AE}" pid="18" name="urlParams">
    <vt:lpwstr>flowInid=324324&amp;stepInco=5359476&amp;dealIndx=0&amp;openType=1&amp;flowId=150&amp;stepCode=365&amp;readOnly=0&amp;curUserCode=13719295113&amp;sysCode=MD_YBJ_OA&amp;tenantCode=GDSXXZX&amp;r=0.9930724960884267&amp;fileCode=17d60d850be34287874fe2dd5c9399fd&amp;id=17d60d850be34287874fe2dd5c9399fd&amp;docTempCode=&amp;userUuid=bd09a96f438f4c879583a14e7df26914</vt:lpwstr>
  </property>
  <property fmtid="{D5CDD505-2E9C-101B-9397-08002B2CF9AE}" pid="19" name="lockDocUrl">
    <vt:lpwstr>https://xtbgsafe.gdzwfw.gov.cn/szoa/instance-web/minstone/wfDocBody/getLockInfo?flowInid=324324&amp;stepInco=5359476&amp;dealIndx=0&amp;openType=1&amp;flowId=150&amp;stepCode=365&amp;readOnly=0&amp;curUserCode=13719295113&amp;sysCode=MD_YBJ_OA&amp;tenantCode=GDSXXZX&amp;r=0.9930724960884267&amp;fileCode=17d60d850be34287874fe2dd5c9399fd&amp;id=17d60d850be34287874fe2dd5c9399fd&amp;docTempCode=&amp;userUuid=bd09a96f438f4c879583a14e7df26914</vt:lpwstr>
  </property>
  <property fmtid="{D5CDD505-2E9C-101B-9397-08002B2CF9AE}" pid="20" name="copyUrl">
    <vt:lpwstr>https://xtbgsafe.gdzwfw.gov.cn/szoa/instance-web/minstone/wfDocBody/copyDoc?flowInid=324324&amp;stepInco=5359476&amp;dealIndx=0&amp;openType=1&amp;flowId=150&amp;stepCode=365&amp;readOnly=0&amp;curUserCode=13719295113&amp;sysCode=MD_YBJ_OA&amp;tenantCode=GDSXXZX&amp;r=0.9930724960884267&amp;fileCode=17d60d850be34287874fe2dd5c9399fd&amp;id=17d60d850be34287874fe2dd5c9399fd&amp;docTempCode=&amp;userUuid=bd09a96f438f4c879583a14e7df26914</vt:lpwstr>
  </property>
  <property fmtid="{D5CDD505-2E9C-101B-9397-08002B2CF9AE}" pid="21" name="unLockDocurl">
    <vt:lpwstr>https://xtbgsafe.gdzwfw.gov.cn/szoa/instance-web/minstone/wfDocBody/unLockDoc?flowInid=324324&amp;stepInco=5359476&amp;dealIndx=0&amp;openType=1&amp;flowId=150&amp;stepCode=365&amp;readOnly=0&amp;curUserCode=13719295113&amp;sysCode=MD_YBJ_OA&amp;tenantCode=GDSXXZX&amp;r=0.9930724960884267&amp;fileCode=17d60d850be34287874fe2dd5c9399fd&amp;id=17d60d850be34287874fe2dd5c9399fd&amp;docTempCode=&amp;userUuid=bd09a96f438f4c879583a14e7df26914</vt:lpwstr>
  </property>
  <property fmtid="{D5CDD505-2E9C-101B-9397-08002B2CF9AE}" pid="22" name="showSavePromptFlag">
    <vt:lpwstr>true</vt:lpwstr>
  </property>
  <property fmtid="{D5CDD505-2E9C-101B-9397-08002B2CF9AE}" pid="23" name="ribbonExt">
    <vt:lpwstr>{"WPSExtOfficeTab":{"OnGetEnabled":false,"OnGetVisible":false}}</vt:lpwstr>
  </property>
  <property fmtid="{D5CDD505-2E9C-101B-9397-08002B2CF9AE}" pid="24" name="ICV">
    <vt:lpwstr>3E7BF84A1B1B4954A2C4D26E57474739</vt:lpwstr>
  </property>
  <property fmtid="{D5CDD505-2E9C-101B-9397-08002B2CF9AE}" pid="25" name="close">
    <vt:lpwstr>true</vt:lpwstr>
  </property>
  <property fmtid="{D5CDD505-2E9C-101B-9397-08002B2CF9AE}" pid="26" name="userName">
    <vt:lpwstr>黄丽华</vt:lpwstr>
  </property>
  <property fmtid="{D5CDD505-2E9C-101B-9397-08002B2CF9AE}" pid="27" name="showFlag">
    <vt:bool>true</vt:bool>
  </property>
</Properties>
</file>