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广东省公立医疗机构实施特需医疗服务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项目和价格承诺函</w:t>
      </w:r>
    </w:p>
    <w:bookmarkEnd w:id="0"/>
    <w:p>
      <w:pPr>
        <w:spacing w:line="720" w:lineRule="exac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已审阅《</w:t>
      </w:r>
      <w:r>
        <w:rPr>
          <w:rFonts w:hint="default" w:eastAsia="仿宋_GB2312"/>
          <w:sz w:val="32"/>
          <w:szCs w:val="32"/>
        </w:rPr>
        <w:t>广东省医疗保障局特需医疗服务项目和价格管理办法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的全部内容，认同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管理办法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并郑重承诺如下：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一、严格按照特需服务项目范围和规模实施本单位特需服务项目，不超范围、超规模开展特需医疗服务。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、自觉遵循公平、合法和诚实信用的原则确定价格，正确行使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特需服务项目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自主定价权力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、主动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公示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特需服务项目价格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并按公示的项目和价格收费，不收取明码标价之外的费用，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确保患者知情权</w:t>
      </w:r>
      <w:r>
        <w:rPr>
          <w:rFonts w:hint="eastAsia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和权益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医疗保障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市场调节价项目（含新增和特需服务项目）执行情况上传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eastAsia="zh-CN"/>
        </w:rPr>
        <w:t>国家医疗保障信息平台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所提交数据真实、完整、准确，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有不实之处，以及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违反相关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，承担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由此产生的相关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接受相关单位作出的信用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结果以及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相应处理措施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法定代表人（签章）：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7D0B"/>
    <w:rsid w:val="0AF37D0B"/>
    <w:rsid w:val="644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6">
    <w:name w:val="标题 2 Char"/>
    <w:basedOn w:val="15"/>
    <w:link w:val="4"/>
    <w:qFormat/>
    <w:uiPriority w:val="0"/>
    <w:rPr>
      <w:rFonts w:ascii="Arial" w:hAnsi="Arial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2023-12-29T09:45:00Z</dcterms:created>
  <dc:creator>李华润（驻场）</dc:creator>
  <cp:lastModifiedBy>李华润（驻场）</cp:lastModifiedBy>
  <dcterms:modified xsi:type="dcterms:W3CDTF">2023-12-29T09:46:29Z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8267577F757A43E4B5158E8B2185C740</vt:lpwstr>
  </property>
</Properties>
</file>