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  <w:t>年度医疗服务价格动态调整调价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  <w:t>评估报告（模板）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0"/>
          <w:szCs w:val="2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一、评估单位（</w:t>
      </w: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注：请据实在□中√选，下同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）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default" w:ascii="华文仿宋" w:hAnsi="华文仿宋" w:eastAsia="华文仿宋" w:cs="华文仿宋"/>
          <w:sz w:val="32"/>
          <w:szCs w:val="40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 xml:space="preserve">□ 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省（自治区、直辖市）医疗保障局；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 xml:space="preserve">□ 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省（自治区、直辖市）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市（地区、盟、州）医疗保障局。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二、评估时间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 xml:space="preserve">□ 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lang w:val="en-US" w:eastAsia="zh-CN"/>
        </w:rPr>
        <w:t>20XX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lang w:val="en-US" w:eastAsia="zh-CN"/>
        </w:rPr>
        <w:t xml:space="preserve"> XX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月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□ 按照本地动态调整机制政策，每2年开展一轮调价评估，本年度不实施调价评估；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□ 已配合相关改革实施较大规模的专项价格调整，按照政策本年度不再追加实施调价评估；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□ 未开展调价评估。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三、管理范围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□全省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（自治区、直辖市）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公立医疗机构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□省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（自治区、直辖市）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属公立医疗机构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□市级公立医疗机构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□其他情形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四、评估结果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□符合调价启动条件，预计调价总量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万元，占本级管理的公立医疗机构上一年度医疗服务收入（不含药品、耗材、检查、化验收入）的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%，占本级管理的公立医疗机构上一年度医疗服务收入（不含药品、耗材收入）的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%，占本级管理的公立医疗机构上一年度医疗收入的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%；</w:t>
      </w:r>
    </w:p>
    <w:p>
      <w:pPr>
        <w:widowControl w:val="0"/>
        <w:numPr>
          <w:ilvl w:val="0"/>
          <w:numId w:val="0"/>
        </w:num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□不符合调价启动条件，本年度医疗服务价格不实施动态调整。</w:t>
      </w:r>
    </w:p>
    <w:p>
      <w:pPr>
        <w:numPr>
          <w:ilvl w:val="0"/>
          <w:numId w:val="0"/>
        </w:numPr>
        <w:spacing w:line="600" w:lineRule="exact"/>
        <w:ind w:left="640" w:leftChars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五、评估内容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□模式一（按固定的启动条件和约束条件评估）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启动条件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指标阈值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实际指标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ind w:firstLine="320" w:firstLineChars="100"/>
              <w:jc w:val="both"/>
              <w:rPr>
                <w:rFonts w:hint="default" w:ascii="仿宋" w:hAnsi="仿宋" w:eastAsia="仿宋" w:cs="仿宋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②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③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u w:val="none"/>
                <w:vertAlign w:val="baseline"/>
                <w:lang w:val="en-US" w:eastAsia="zh-CN"/>
              </w:rPr>
              <w:t>约束条件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u w:val="none"/>
                <w:vertAlign w:val="baseline"/>
                <w:lang w:val="en-US" w:eastAsia="zh-CN"/>
              </w:rPr>
              <w:t>指标阈值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u w:val="none"/>
                <w:vertAlign w:val="baseline"/>
                <w:lang w:val="en-US" w:eastAsia="zh-CN"/>
              </w:rPr>
              <w:t>实际指标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eastAsia" w:ascii="仿宋" w:hAnsi="仿宋" w:eastAsia="仿宋" w:cs="仿宋"/>
                <w:kern w:val="2"/>
                <w:sz w:val="32"/>
                <w:szCs w:val="4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eastAsia" w:ascii="仿宋" w:hAnsi="仿宋" w:eastAsia="仿宋" w:cs="仿宋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②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eastAsia" w:ascii="仿宋" w:hAnsi="仿宋" w:eastAsia="仿宋" w:cs="仿宋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③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东文宋体" w:hAnsi="东文宋体" w:eastAsia="东文宋体" w:cs="东文宋体"/>
          <w:sz w:val="32"/>
          <w:szCs w:val="40"/>
          <w:lang w:val="en-US" w:eastAsia="zh-CN"/>
        </w:rPr>
        <w:t>▲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情况说明：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（同时触发多项条件，需按照各项条件预先设定的优先规则确定是否触发调价的，对优先规则和适用情况给予简要说明，注明所援引文件的名称和文号） 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□模式二（按预设指标的综合评分结果评估）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default" w:ascii="仿宋" w:hAnsi="仿宋" w:eastAsia="仿宋" w:cs="仿宋"/>
                <w:kern w:val="2"/>
                <w:sz w:val="32"/>
                <w:szCs w:val="40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default" w:ascii="仿宋" w:hAnsi="仿宋" w:eastAsia="仿宋" w:cs="仿宋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②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320" w:firstLineChars="100"/>
              <w:jc w:val="both"/>
              <w:rPr>
                <w:rFonts w:hint="default" w:ascii="仿宋" w:hAnsi="仿宋" w:eastAsia="仿宋" w:cs="仿宋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东文宋体" w:hAnsi="东文宋体" w:eastAsia="东文宋体" w:cs="东文宋体"/>
                <w:sz w:val="32"/>
                <w:szCs w:val="40"/>
                <w:u w:val="none"/>
                <w:vertAlign w:val="baseline"/>
                <w:lang w:val="en-US" w:eastAsia="zh-CN"/>
              </w:rPr>
              <w:t>③</w:t>
            </w:r>
            <w:r>
              <w:rPr>
                <w:rFonts w:hint="eastAsia" w:ascii="汉仪书宋二S" w:hAnsi="汉仪书宋二S" w:eastAsia="汉仪书宋二S" w:cs="汉仪书宋二S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4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东文宋体" w:hAnsi="东文宋体" w:eastAsia="东文宋体" w:cs="东文宋体"/>
          <w:sz w:val="32"/>
          <w:szCs w:val="40"/>
          <w:lang w:val="en-US" w:eastAsia="zh-CN"/>
        </w:rPr>
        <w:t>▲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情况说明：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（按照实际得分的合计值确定是否触发调价的，请对判定规则给予简要说明，并注明所援引文件的名称和文号）                          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联络员姓名及联系方式：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  <w:t>市关于拟制定、调整医疗服务价格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u w:val="none"/>
          <w:lang w:val="en-US" w:eastAsia="zh-CN"/>
        </w:rPr>
        <w:t>的情况说明（模板）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黑体" w:hAnsi="黑体" w:eastAsia="黑体" w:cs="黑体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一、任务类型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□ 新制定医疗服务项目价格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□ 调整医疗服务项目价格</w:t>
      </w:r>
      <w:r>
        <w:rPr>
          <w:rFonts w:hint="eastAsia" w:ascii="华文仿宋" w:hAnsi="华文仿宋" w:eastAsia="华文仿宋" w:cs="华文仿宋"/>
          <w:sz w:val="48"/>
          <w:szCs w:val="56"/>
          <w:vertAlign w:val="superscript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sz w:val="48"/>
          <w:szCs w:val="56"/>
          <w:vertAlign w:val="superscript"/>
          <w:lang w:val="en-US" w:eastAsia="zh-CN"/>
        </w:rPr>
        <w:instrText xml:space="preserve"> = 1 \* GB3 \* MERGEFORMAT </w:instrText>
      </w:r>
      <w:r>
        <w:rPr>
          <w:rFonts w:hint="eastAsia" w:ascii="华文仿宋" w:hAnsi="华文仿宋" w:eastAsia="华文仿宋" w:cs="华文仿宋"/>
          <w:sz w:val="48"/>
          <w:szCs w:val="56"/>
          <w:vertAlign w:val="superscript"/>
          <w:lang w:val="en-US" w:eastAsia="zh-CN"/>
        </w:rPr>
        <w:fldChar w:fldCharType="separate"/>
      </w:r>
      <w:r>
        <w:rPr>
          <w:sz w:val="32"/>
          <w:szCs w:val="40"/>
          <w:vertAlign w:val="superscript"/>
        </w:rPr>
        <w:t>①</w:t>
      </w:r>
      <w:r>
        <w:rPr>
          <w:rFonts w:hint="eastAsia" w:ascii="华文仿宋" w:hAnsi="华文仿宋" w:eastAsia="华文仿宋" w:cs="华文仿宋"/>
          <w:sz w:val="48"/>
          <w:szCs w:val="56"/>
          <w:vertAlign w:val="superscript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  <w:t xml:space="preserve">           □ 按照动态调整机制触发的调整</w:t>
      </w:r>
    </w:p>
    <w:p>
      <w:pPr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  <w:t xml:space="preserve">           □ 配合相关改革实施的专项调整</w:t>
      </w:r>
    </w:p>
    <w:p>
      <w:pPr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32"/>
          <w:szCs w:val="40"/>
          <w:u w:val="none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vertAlign w:val="baseline"/>
          <w:lang w:val="en-US" w:eastAsia="zh-CN"/>
        </w:rPr>
        <w:t xml:space="preserve">           □ 其他</w:t>
      </w:r>
      <w:r>
        <w:rPr>
          <w:rFonts w:hint="eastAsia" w:ascii="华文仿宋" w:hAnsi="华文仿宋" w:eastAsia="华文仿宋" w:cs="华文仿宋"/>
          <w:sz w:val="32"/>
          <w:szCs w:val="40"/>
          <w:u w:val="single"/>
          <w:vertAlign w:val="baselin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二、调价总量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1.预计调价总量</w:t>
      </w:r>
      <w:r>
        <w:rPr>
          <w:rFonts w:hint="eastAsia" w:ascii="东文宋体" w:hAnsi="东文宋体" w:eastAsia="东文宋体" w:cs="东文宋体"/>
          <w:sz w:val="36"/>
          <w:szCs w:val="44"/>
          <w:vertAlign w:val="superscript"/>
          <w:lang w:val="en-US" w:eastAsia="zh-CN"/>
        </w:rPr>
        <w:t>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共计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万元，其中，调增的部分共计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万元，占本级管理的公立医疗机构上一年度医疗服务收入（不含药品、耗材、检查、化验收入）的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%，占本级管理的公立医疗机构上一年度医疗服务收入（不含药品、耗材收入）的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%，占本级管理的公立医疗机构上一年度医疗收入的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2.预计调价总量（空间）的测算方法：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"/>
          <w:sz w:val="21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21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4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1"/>
          <w:szCs w:val="24"/>
          <w:u w:val="none"/>
          <w:lang w:val="en-US" w:eastAsia="zh-CN"/>
        </w:rPr>
      </w:pPr>
      <w:r>
        <w:rPr>
          <w:rFonts w:hint="default" w:ascii="黑体" w:hAnsi="黑体" w:eastAsia="黑体" w:cs="黑体"/>
          <w:sz w:val="21"/>
          <w:szCs w:val="24"/>
          <w:u w:val="single"/>
          <w:lang w:val="en-US" w:eastAsia="zh-CN"/>
        </w:rPr>
        <w:fldChar w:fldCharType="begin"/>
      </w:r>
      <w:r>
        <w:rPr>
          <w:rFonts w:hint="default" w:ascii="黑体" w:hAnsi="黑体" w:eastAsia="黑体" w:cs="黑体"/>
          <w:sz w:val="21"/>
          <w:szCs w:val="24"/>
          <w:u w:val="single"/>
          <w:lang w:val="en-US" w:eastAsia="zh-CN"/>
        </w:rPr>
        <w:instrText xml:space="preserve"> = 1 \* GB3 \* MERGEFORMAT </w:instrText>
      </w:r>
      <w:r>
        <w:rPr>
          <w:rFonts w:hint="default" w:ascii="黑体" w:hAnsi="黑体" w:eastAsia="黑体" w:cs="黑体"/>
          <w:sz w:val="21"/>
          <w:szCs w:val="24"/>
          <w:u w:val="single"/>
          <w:lang w:val="en-US" w:eastAsia="zh-CN"/>
        </w:rPr>
        <w:fldChar w:fldCharType="separate"/>
      </w:r>
      <w:r>
        <w:t>①</w:t>
      </w:r>
      <w:r>
        <w:rPr>
          <w:rFonts w:hint="default" w:ascii="黑体" w:hAnsi="黑体" w:eastAsia="黑体" w:cs="黑体"/>
          <w:sz w:val="21"/>
          <w:szCs w:val="24"/>
          <w:u w:val="single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4"/>
          <w:u w:val="none"/>
          <w:lang w:val="en-US" w:eastAsia="zh-CN"/>
        </w:rPr>
        <w:t>注：对现有项目的收费方式、项目内容、计价单位、计价说明等进行调整的，按调整价格统计，上调价格或下调价格的幅度按照相同疗程的费用变化幅度统计。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1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instrText xml:space="preserve"> = 2 \* GB3 \* MERGEFORMAT </w:instrText>
      </w: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fldChar w:fldCharType="separate"/>
      </w:r>
      <w:r>
        <w:t>②</w:t>
      </w: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1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4"/>
          <w:u w:val="none"/>
          <w:lang w:val="en-US" w:eastAsia="zh-CN"/>
        </w:rPr>
        <w:t>本次新制定或调整价格预计增加的总金额。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三、定调价方法</w:t>
      </w:r>
    </w:p>
    <w:p>
      <w:pPr>
        <w:numPr>
          <w:ilvl w:val="0"/>
          <w:numId w:val="0"/>
        </w:numPr>
        <w:spacing w:line="480" w:lineRule="exact"/>
        <w:ind w:left="640" w:leftChars="0" w:firstLine="0" w:firstLineChars="0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1.选择调价项目的具体方法：</w:t>
      </w: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default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ind w:left="640" w:leftChars="0" w:firstLine="0" w:firstLineChars="0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2.测算具体项目价格的具体方法：</w:t>
      </w: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default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ind w:left="640" w:leftChars="0" w:firstLine="0" w:firstLineChars="0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3.实现总量控制和合理比价的具体方法：</w:t>
      </w: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default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ind w:left="640" w:leftChars="0" w:firstLine="0" w:firstLineChars="0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4.尊重和体现医院医务人员意见的具体方法：</w:t>
      </w: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jc w:val="both"/>
        <w:rPr>
          <w:rFonts w:hint="default" w:ascii="黑体" w:hAnsi="黑体" w:eastAsia="黑体" w:cs="黑体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四、方案提要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1.本次方案涉及拟新制定医疗服务项目价格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项，拟调整医疗服务项目价格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项。</w:t>
      </w:r>
    </w:p>
    <w:p>
      <w:pPr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拟调价的项目中，上调价格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项，平均涨幅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；下调价格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项，平均降幅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2.本次方案拟新制定价格项目占比最高的是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类，涉及中医类项目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项。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本次方案拟上调价格的项目中，占比最高的是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类，平均涨幅分别为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%；拟上调价格的儿科类项目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项，平均涨幅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%；拟上调价格的中医类项目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项，平均涨幅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%。</w:t>
      </w:r>
    </w:p>
    <w:p>
      <w:pPr>
        <w:numPr>
          <w:ilvl w:val="0"/>
          <w:numId w:val="0"/>
        </w:numPr>
        <w:tabs>
          <w:tab w:val="left" w:pos="1033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本次方案拟下调价格的项目中，占比最高的是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</w:p>
    <w:p>
      <w:pPr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类，平均降幅分别为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%、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%。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五、风险评估指标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1.对当地物价水平（居民消费价格指数CPI）的影响。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是否评估：□是；□否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评估结论：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（定量简述）             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2.对医保统筹基金运行的影响。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是否评估：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□是；□否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评估结论：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（定量简述）             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3.对患者负担的影响。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是否评估：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□是；□否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评估结论：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（定量简述）             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4.对特殊敏感群体的影响。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是否评估：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□是；□否</w:t>
      </w:r>
    </w:p>
    <w:p>
      <w:pPr>
        <w:widowControl w:val="0"/>
        <w:numPr>
          <w:ilvl w:val="0"/>
          <w:numId w:val="0"/>
        </w:numPr>
        <w:spacing w:line="480" w:lineRule="exact"/>
        <w:ind w:left="640" w:leftChars="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评估结论：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（定量简述）             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</w:t>
      </w:r>
    </w:p>
    <w:p>
      <w:pPr>
        <w:widowControl w:val="0"/>
        <w:numPr>
          <w:ilvl w:val="0"/>
          <w:numId w:val="0"/>
        </w:numPr>
        <w:spacing w:line="48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六、实施时间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本方案计划于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>20XX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月实施。</w:t>
      </w:r>
    </w:p>
    <w:p>
      <w:pPr>
        <w:widowControl w:val="0"/>
        <w:numPr>
          <w:ilvl w:val="0"/>
          <w:numId w:val="1"/>
        </w:numPr>
        <w:spacing w:line="48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实施范围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□全省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（自治区、直辖市）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公立医疗机构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□省</w:t>
      </w:r>
      <w:r>
        <w:rPr>
          <w:rFonts w:hint="eastAsia" w:ascii="华文仿宋" w:hAnsi="华文仿宋" w:eastAsia="华文仿宋" w:cs="华文仿宋"/>
          <w:sz w:val="32"/>
          <w:szCs w:val="40"/>
          <w:u w:val="none"/>
          <w:lang w:val="en-US" w:eastAsia="zh-CN"/>
        </w:rPr>
        <w:t>（自治区、直辖市）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属公立医疗机构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□市级公立医疗机构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□其他情形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480" w:lineRule="exact"/>
        <w:ind w:firstLine="640"/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联络员姓名及联系方式：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15E1"/>
    <w:multiLevelType w:val="singleLevel"/>
    <w:tmpl w:val="FFFF15E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D8AEF"/>
    <w:rsid w:val="02DC1636"/>
    <w:rsid w:val="0BA02D28"/>
    <w:rsid w:val="0FB3F4DA"/>
    <w:rsid w:val="1C9F64C8"/>
    <w:rsid w:val="25735587"/>
    <w:rsid w:val="2EEDF1F0"/>
    <w:rsid w:val="3EBD8AEF"/>
    <w:rsid w:val="4BFFDCA3"/>
    <w:rsid w:val="5BDD6E9D"/>
    <w:rsid w:val="77D702EC"/>
    <w:rsid w:val="79DD11CE"/>
    <w:rsid w:val="7EFEF194"/>
    <w:rsid w:val="97FB94FA"/>
    <w:rsid w:val="AFEB3ED4"/>
    <w:rsid w:val="BDDB5FC3"/>
    <w:rsid w:val="DFCFDC58"/>
    <w:rsid w:val="EDDF913A"/>
    <w:rsid w:val="F2A5CB16"/>
    <w:rsid w:val="F5F264A8"/>
    <w:rsid w:val="F67BA5B3"/>
    <w:rsid w:val="F77DC1F5"/>
    <w:rsid w:val="F7B7B334"/>
    <w:rsid w:val="FB2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1487</Words>
  <Characters>1509</Characters>
  <Lines>0</Lines>
  <Paragraphs>0</Paragraphs>
  <TotalTime>6</TotalTime>
  <ScaleCrop>false</ScaleCrop>
  <LinksUpToDate>false</LinksUpToDate>
  <CharactersWithSpaces>2977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2021-12-31T07:12:00Z</dcterms:created>
  <dc:creator>abc</dc:creator>
  <cp:lastModifiedBy>lenovo</cp:lastModifiedBy>
  <cp:lastPrinted>2022-01-10T03:02:00Z</cp:lastPrinted>
  <dcterms:modified xsi:type="dcterms:W3CDTF">2022-01-12T10:09:48Z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showFlag">
    <vt:bool>true</vt:bool>
  </property>
  <property fmtid="{D5CDD505-2E9C-101B-9397-08002B2CF9AE}" pid="5" name="userName">
    <vt:lpwstr>刘凌</vt:lpwstr>
  </property>
</Properties>
</file>