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ascii="仿宋" w:hAnsi="仿宋" w:eastAsia="仿宋" w:cs="仿宋"/>
          <w:color w:val="auto"/>
          <w:sz w:val="32"/>
          <w:szCs w:val="32"/>
        </w:rPr>
      </w:pPr>
    </w:p>
    <w:p>
      <w:pPr>
        <w:spacing w:line="600" w:lineRule="exact"/>
        <w:rPr>
          <w:rFonts w:ascii="方正小标宋简体" w:hAnsi="方正小标宋简体" w:eastAsia="方正小标宋简体" w:cs="方正小标宋简体"/>
          <w:color w:val="auto"/>
          <w:sz w:val="44"/>
        </w:rPr>
      </w:pPr>
    </w:p>
    <w:p>
      <w:pPr>
        <w:spacing w:line="600" w:lineRule="exact"/>
        <w:jc w:val="center"/>
        <w:rPr>
          <w:rFonts w:ascii="方正小标宋简体" w:hAnsi="方正小标宋简体" w:eastAsia="方正小标宋简体" w:cs="方正小标宋简体"/>
          <w:color w:val="auto"/>
          <w:sz w:val="44"/>
        </w:rPr>
      </w:pPr>
      <w:r>
        <w:rPr>
          <w:rFonts w:ascii="方正小标宋简体" w:hAnsi="方正小标宋简体" w:eastAsia="方正小标宋简体" w:cs="方正小标宋简体"/>
          <w:color w:val="auto"/>
          <w:sz w:val="44"/>
        </w:rPr>
        <w:t>广东省医疗保障局新增医疗服务价格</w:t>
      </w:r>
    </w:p>
    <w:p>
      <w:pPr>
        <w:spacing w:line="600" w:lineRule="exact"/>
        <w:jc w:val="center"/>
        <w:rPr>
          <w:rFonts w:ascii="方正小标宋简体" w:hAnsi="方正小标宋简体" w:eastAsia="方正小标宋简体" w:cs="方正小标宋简体"/>
          <w:color w:val="auto"/>
          <w:sz w:val="44"/>
        </w:rPr>
      </w:pPr>
      <w:r>
        <w:rPr>
          <w:rFonts w:ascii="方正小标宋简体" w:hAnsi="方正小标宋简体" w:eastAsia="方正小标宋简体" w:cs="方正小标宋简体"/>
          <w:color w:val="auto"/>
          <w:sz w:val="44"/>
        </w:rPr>
        <w:t>项目管理办法</w:t>
      </w:r>
      <w:r>
        <w:rPr>
          <w:rFonts w:hint="eastAsia" w:ascii="方正小标宋简体" w:hAnsi="方正小标宋简体" w:eastAsia="方正小标宋简体" w:cs="方正小标宋简体"/>
          <w:color w:val="auto"/>
          <w:sz w:val="44"/>
        </w:rPr>
        <w:t>（修订稿）</w:t>
      </w:r>
    </w:p>
    <w:p>
      <w:pPr>
        <w:spacing w:line="600" w:lineRule="exact"/>
        <w:jc w:val="center"/>
        <w:rPr>
          <w:rFonts w:ascii="楷体" w:hAnsi="楷体" w:eastAsia="楷体" w:cs="楷体"/>
          <w:color w:val="auto"/>
          <w:sz w:val="32"/>
        </w:rPr>
      </w:pPr>
    </w:p>
    <w:p>
      <w:pPr>
        <w:numPr>
          <w:ilvl w:val="0"/>
          <w:numId w:val="1"/>
        </w:numPr>
        <w:spacing w:line="600" w:lineRule="exact"/>
        <w:jc w:val="center"/>
        <w:rPr>
          <w:rFonts w:ascii="黑体" w:hAnsi="黑体" w:eastAsia="黑体" w:cs="黑体"/>
          <w:color w:val="auto"/>
          <w:sz w:val="32"/>
        </w:rPr>
      </w:pPr>
      <w:r>
        <w:rPr>
          <w:rFonts w:hint="eastAsia" w:ascii="黑体" w:hAnsi="黑体" w:eastAsia="黑体" w:cs="黑体"/>
          <w:color w:val="auto"/>
          <w:sz w:val="32"/>
        </w:rPr>
        <w:t xml:space="preserve"> 总则</w:t>
      </w:r>
    </w:p>
    <w:p>
      <w:pPr>
        <w:numPr>
          <w:ilvl w:val="255"/>
          <w:numId w:val="0"/>
        </w:numPr>
        <w:spacing w:line="600" w:lineRule="exact"/>
        <w:rPr>
          <w:rFonts w:ascii="黑体" w:hAnsi="黑体" w:eastAsia="黑体" w:cs="黑体"/>
          <w:color w:val="auto"/>
          <w:sz w:val="32"/>
        </w:rPr>
      </w:pPr>
    </w:p>
    <w:p>
      <w:pPr>
        <w:spacing w:line="600" w:lineRule="exact"/>
        <w:rPr>
          <w:rFonts w:eastAsia="仿宋_GB2312"/>
          <w:color w:val="auto"/>
          <w:sz w:val="32"/>
        </w:rPr>
      </w:pPr>
      <w:r>
        <w:rPr>
          <w:rFonts w:ascii="仿宋" w:hAnsi="仿宋" w:eastAsia="仿宋" w:cs="仿宋"/>
          <w:color w:val="auto"/>
          <w:sz w:val="32"/>
        </w:rPr>
        <w:t xml:space="preserve">    </w:t>
      </w:r>
      <w:r>
        <w:rPr>
          <w:rFonts w:eastAsia="仿宋_GB2312"/>
          <w:color w:val="auto"/>
          <w:sz w:val="32"/>
        </w:rPr>
        <w:t>第一条 为规范新增医疗服务价格项目管理，促进医疗机构引进新技术，满足群众医疗服务需求，根据国家医疗服务价格管理的有关规定，制定本办法。</w:t>
      </w:r>
    </w:p>
    <w:p>
      <w:pPr>
        <w:spacing w:line="600" w:lineRule="exact"/>
        <w:ind w:firstLine="640"/>
        <w:rPr>
          <w:rFonts w:eastAsia="仿宋_GB2312"/>
          <w:color w:val="auto"/>
          <w:sz w:val="32"/>
        </w:rPr>
      </w:pPr>
      <w:r>
        <w:rPr>
          <w:rFonts w:eastAsia="仿宋_GB2312"/>
          <w:color w:val="auto"/>
          <w:sz w:val="32"/>
        </w:rPr>
        <w:t>第二条 本省行政区域内的非营利性医疗机构新增医疗服务价格项目管理，适用本办法。</w:t>
      </w:r>
    </w:p>
    <w:p>
      <w:pPr>
        <w:spacing w:line="600" w:lineRule="exact"/>
        <w:ind w:firstLine="640"/>
        <w:rPr>
          <w:rFonts w:eastAsia="仿宋_GB2312"/>
          <w:color w:val="auto"/>
          <w:sz w:val="32"/>
        </w:rPr>
      </w:pPr>
      <w:r>
        <w:rPr>
          <w:rFonts w:eastAsia="仿宋_GB2312"/>
          <w:color w:val="auto"/>
          <w:sz w:val="32"/>
        </w:rPr>
        <w:t>第三条 本办法所称新增医疗服务价格项目是指符合法律法规及政策规定，尚未列入全省统一医疗服务价格项目目录，经验证能提高诊疗效果，或符合群众多样化健康需求的医疗服务项目。</w:t>
      </w:r>
    </w:p>
    <w:p>
      <w:pPr>
        <w:spacing w:line="600" w:lineRule="exact"/>
        <w:ind w:firstLine="640"/>
        <w:rPr>
          <w:rFonts w:eastAsia="仿宋_GB2312"/>
          <w:color w:val="auto"/>
          <w:sz w:val="32"/>
        </w:rPr>
      </w:pPr>
      <w:r>
        <w:rPr>
          <w:rFonts w:eastAsia="仿宋_GB2312"/>
          <w:color w:val="auto"/>
          <w:sz w:val="32"/>
        </w:rPr>
        <w:t>第四条 新增医疗服务价格项目按医疗机构申报、地级市医疗保障局受理</w:t>
      </w:r>
      <w:r>
        <w:rPr>
          <w:rFonts w:hint="eastAsia" w:eastAsia="仿宋_GB2312"/>
          <w:color w:val="auto"/>
          <w:sz w:val="32"/>
        </w:rPr>
        <w:t>并初审</w:t>
      </w:r>
      <w:r>
        <w:rPr>
          <w:rFonts w:eastAsia="仿宋_GB2312"/>
          <w:color w:val="auto"/>
          <w:sz w:val="32"/>
        </w:rPr>
        <w:t>、省医疗保障局审核的程序开展。实行</w:t>
      </w:r>
      <w:r>
        <w:rPr>
          <w:rFonts w:hint="eastAsia" w:eastAsia="仿宋_GB2312"/>
          <w:color w:val="auto"/>
          <w:sz w:val="32"/>
        </w:rPr>
        <w:t>定期</w:t>
      </w:r>
      <w:r>
        <w:rPr>
          <w:rFonts w:eastAsia="仿宋_GB2312"/>
          <w:color w:val="auto"/>
          <w:sz w:val="32"/>
        </w:rPr>
        <w:t>申报、集中受理审核。</w:t>
      </w:r>
    </w:p>
    <w:p>
      <w:pPr>
        <w:spacing w:line="600" w:lineRule="exact"/>
        <w:ind w:firstLine="640"/>
        <w:rPr>
          <w:rFonts w:ascii="仿宋" w:hAnsi="仿宋" w:eastAsia="仿宋" w:cs="仿宋"/>
          <w:color w:val="auto"/>
          <w:sz w:val="32"/>
        </w:rPr>
      </w:pPr>
    </w:p>
    <w:p>
      <w:pPr>
        <w:numPr>
          <w:ilvl w:val="0"/>
          <w:numId w:val="1"/>
        </w:numPr>
        <w:spacing w:line="600" w:lineRule="exact"/>
        <w:jc w:val="center"/>
        <w:rPr>
          <w:rFonts w:ascii="黑体" w:hAnsi="黑体" w:eastAsia="黑体" w:cs="黑体"/>
          <w:color w:val="auto"/>
          <w:sz w:val="32"/>
        </w:rPr>
      </w:pPr>
      <w:r>
        <w:rPr>
          <w:rFonts w:hint="eastAsia" w:ascii="黑体" w:hAnsi="黑体" w:eastAsia="黑体" w:cs="黑体"/>
          <w:color w:val="auto"/>
          <w:sz w:val="32"/>
        </w:rPr>
        <w:t xml:space="preserve"> 申报和受理</w:t>
      </w:r>
    </w:p>
    <w:p>
      <w:pPr>
        <w:numPr>
          <w:ilvl w:val="255"/>
          <w:numId w:val="0"/>
        </w:numPr>
        <w:spacing w:line="600" w:lineRule="exact"/>
        <w:rPr>
          <w:rFonts w:ascii="黑体" w:hAnsi="黑体" w:eastAsia="黑体" w:cs="黑体"/>
          <w:color w:val="auto"/>
          <w:sz w:val="32"/>
        </w:rPr>
      </w:pPr>
    </w:p>
    <w:p>
      <w:pPr>
        <w:spacing w:line="600" w:lineRule="exact"/>
        <w:rPr>
          <w:rFonts w:eastAsia="仿宋_GB2312"/>
          <w:color w:val="auto"/>
          <w:sz w:val="32"/>
        </w:rPr>
      </w:pPr>
      <w:r>
        <w:rPr>
          <w:rFonts w:ascii="仿宋" w:hAnsi="仿宋" w:eastAsia="仿宋" w:cs="仿宋"/>
          <w:color w:val="auto"/>
          <w:sz w:val="32"/>
        </w:rPr>
        <w:t xml:space="preserve">    </w:t>
      </w:r>
      <w:r>
        <w:rPr>
          <w:rFonts w:eastAsia="仿宋_GB2312"/>
          <w:color w:val="auto"/>
          <w:sz w:val="32"/>
        </w:rPr>
        <w:t>第五条</w:t>
      </w:r>
      <w:r>
        <w:rPr>
          <w:rFonts w:eastAsia="仿宋_GB2312"/>
          <w:b/>
          <w:i/>
          <w:color w:val="auto"/>
          <w:sz w:val="32"/>
        </w:rPr>
        <w:t xml:space="preserve"> </w:t>
      </w:r>
      <w:r>
        <w:rPr>
          <w:rFonts w:eastAsia="仿宋_GB2312"/>
          <w:color w:val="auto"/>
          <w:sz w:val="32"/>
        </w:rPr>
        <w:t>新增医疗服务价格项目申报实行属地管理，由具备独立法人资格的非营利性医疗机构，向所在地级以上市医疗保障局提出申请。</w:t>
      </w:r>
    </w:p>
    <w:p>
      <w:pPr>
        <w:spacing w:line="600" w:lineRule="exact"/>
        <w:rPr>
          <w:rFonts w:eastAsia="仿宋_GB2312"/>
          <w:color w:val="auto"/>
          <w:sz w:val="32"/>
        </w:rPr>
      </w:pPr>
      <w:r>
        <w:rPr>
          <w:rFonts w:eastAsia="仿宋_GB2312"/>
          <w:color w:val="auto"/>
          <w:sz w:val="32"/>
        </w:rPr>
        <w:t xml:space="preserve">    第六条 医疗机构申报新增医疗服务价格项目应提交加盖公章的以下材料：</w:t>
      </w:r>
    </w:p>
    <w:p>
      <w:pPr>
        <w:spacing w:line="600" w:lineRule="exact"/>
        <w:ind w:firstLine="640"/>
        <w:rPr>
          <w:rFonts w:eastAsia="仿宋_GB2312"/>
          <w:color w:val="auto"/>
          <w:sz w:val="32"/>
        </w:rPr>
      </w:pPr>
      <w:r>
        <w:rPr>
          <w:rFonts w:eastAsia="仿宋_GB2312"/>
          <w:color w:val="auto"/>
          <w:sz w:val="32"/>
        </w:rPr>
        <w:t>（一）《广东省新增医疗服务价格项目申报表》和《广东省医疗服务价格项目成本测算表》。</w:t>
      </w:r>
    </w:p>
    <w:p>
      <w:pPr>
        <w:spacing w:line="600" w:lineRule="exact"/>
        <w:ind w:firstLine="640"/>
        <w:rPr>
          <w:rFonts w:eastAsia="仿宋_GB2312"/>
          <w:color w:val="auto"/>
          <w:sz w:val="32"/>
        </w:rPr>
      </w:pPr>
      <w:r>
        <w:rPr>
          <w:rFonts w:eastAsia="仿宋_GB2312"/>
          <w:color w:val="auto"/>
          <w:sz w:val="32"/>
        </w:rPr>
        <w:t>（二）项目所使用的主要技术安全性、有效性证明材料，属重点管理的医疗技术，须提供卫生行政部门同意备案的证明材料。</w:t>
      </w:r>
    </w:p>
    <w:p>
      <w:pPr>
        <w:spacing w:line="600" w:lineRule="exact"/>
        <w:rPr>
          <w:rFonts w:eastAsia="仿宋_GB2312"/>
          <w:color w:val="auto"/>
          <w:sz w:val="32"/>
        </w:rPr>
      </w:pPr>
      <w:r>
        <w:rPr>
          <w:rFonts w:eastAsia="仿宋_GB2312"/>
          <w:color w:val="auto"/>
          <w:sz w:val="32"/>
        </w:rPr>
        <w:t xml:space="preserve">    （三）项目涉及大型医用设备检查治疗的，须提供该设备的配置证明。</w:t>
      </w:r>
    </w:p>
    <w:p>
      <w:pPr>
        <w:spacing w:line="600" w:lineRule="exact"/>
        <w:ind w:firstLine="640"/>
        <w:rPr>
          <w:rFonts w:eastAsia="仿宋_GB2312"/>
          <w:color w:val="auto"/>
          <w:sz w:val="32"/>
        </w:rPr>
      </w:pPr>
      <w:r>
        <w:rPr>
          <w:rFonts w:eastAsia="仿宋_GB2312"/>
          <w:color w:val="auto"/>
          <w:sz w:val="32"/>
        </w:rPr>
        <w:t>（四）项目使用的医疗器械在全省统一医疗服务项目中未使用过的，须提供该医疗器械的注册证明材料。</w:t>
      </w:r>
    </w:p>
    <w:p>
      <w:pPr>
        <w:spacing w:line="600" w:lineRule="exact"/>
        <w:ind w:firstLine="640"/>
        <w:rPr>
          <w:rFonts w:eastAsia="仿宋_GB2312"/>
          <w:color w:val="auto"/>
          <w:sz w:val="32"/>
        </w:rPr>
      </w:pPr>
      <w:r>
        <w:rPr>
          <w:rFonts w:hint="eastAsia" w:eastAsia="仿宋_GB2312"/>
          <w:color w:val="auto"/>
          <w:sz w:val="32"/>
        </w:rPr>
        <w:t>（五）需提交同级或更高等级第三方医疗机构出具的项目伦理审查结论。</w:t>
      </w:r>
    </w:p>
    <w:p>
      <w:pPr>
        <w:spacing w:line="600" w:lineRule="exact"/>
        <w:ind w:firstLine="640"/>
        <w:rPr>
          <w:rFonts w:eastAsia="仿宋_GB2312"/>
          <w:color w:val="auto"/>
          <w:sz w:val="32"/>
        </w:rPr>
      </w:pPr>
      <w:r>
        <w:rPr>
          <w:rFonts w:hint="eastAsia" w:eastAsia="仿宋_GB2312"/>
          <w:color w:val="auto"/>
          <w:sz w:val="32"/>
        </w:rPr>
        <w:t>（六）新增项目创新性报告，详细说明申报项目的创新性、可靠性和必要性。拟定价格3000元以上的申报项目，须同时提交卫生经济学评价报告或已开展项目的临床效价比较报告。</w:t>
      </w:r>
    </w:p>
    <w:p>
      <w:pPr>
        <w:spacing w:line="600" w:lineRule="exact"/>
        <w:ind w:firstLine="640"/>
        <w:rPr>
          <w:rFonts w:eastAsia="仿宋_GB2312"/>
          <w:color w:val="auto"/>
          <w:sz w:val="32"/>
        </w:rPr>
      </w:pPr>
      <w:r>
        <w:rPr>
          <w:rFonts w:eastAsia="仿宋_GB2312"/>
          <w:color w:val="auto"/>
          <w:sz w:val="32"/>
        </w:rPr>
        <w:t>（</w:t>
      </w:r>
      <w:r>
        <w:rPr>
          <w:rFonts w:hint="eastAsia" w:eastAsia="仿宋_GB2312"/>
          <w:color w:val="auto"/>
          <w:sz w:val="32"/>
        </w:rPr>
        <w:t>七</w:t>
      </w:r>
      <w:r>
        <w:rPr>
          <w:rFonts w:eastAsia="仿宋_GB2312"/>
          <w:color w:val="auto"/>
          <w:sz w:val="32"/>
        </w:rPr>
        <w:t>）与项目相关的其他材料。</w:t>
      </w:r>
    </w:p>
    <w:p>
      <w:pPr>
        <w:spacing w:line="600" w:lineRule="exact"/>
        <w:ind w:firstLine="640"/>
        <w:rPr>
          <w:rFonts w:eastAsia="仿宋_GB2312"/>
          <w:color w:val="auto"/>
          <w:sz w:val="32"/>
        </w:rPr>
      </w:pPr>
      <w:r>
        <w:rPr>
          <w:rFonts w:eastAsia="仿宋_GB2312"/>
          <w:color w:val="auto"/>
          <w:sz w:val="32"/>
        </w:rPr>
        <w:t>申报单位应对新增医疗服务价格项目申报材料的真实性、合法性负责。</w:t>
      </w:r>
      <w:r>
        <w:rPr>
          <w:rFonts w:hint="eastAsia" w:eastAsia="仿宋_GB2312"/>
          <w:color w:val="auto"/>
          <w:sz w:val="32"/>
        </w:rPr>
        <w:t>如提供虚假材料、作虚假称述，两年内不予受理该申报单位新增项目申报，并在一定范围内进行通报。</w:t>
      </w:r>
    </w:p>
    <w:p>
      <w:pPr>
        <w:numPr>
          <w:ilvl w:val="255"/>
          <w:numId w:val="0"/>
        </w:numPr>
        <w:ind w:firstLine="640" w:firstLineChars="200"/>
        <w:rPr>
          <w:rFonts w:ascii="仿宋_GB2312" w:eastAsia="仿宋_GB2312"/>
          <w:color w:val="auto"/>
          <w:sz w:val="32"/>
          <w:szCs w:val="32"/>
        </w:rPr>
      </w:pPr>
      <w:r>
        <w:rPr>
          <w:rFonts w:eastAsia="仿宋_GB2312"/>
          <w:color w:val="auto"/>
          <w:sz w:val="32"/>
        </w:rPr>
        <w:t xml:space="preserve">第七条 </w:t>
      </w:r>
      <w:r>
        <w:rPr>
          <w:rFonts w:hint="eastAsia" w:eastAsia="仿宋_GB2312"/>
          <w:color w:val="auto"/>
          <w:sz w:val="32"/>
        </w:rPr>
        <w:t>各地市医疗保障局负责受理本市行政区域内新增医疗服务价格项目的申请。</w:t>
      </w:r>
    </w:p>
    <w:p>
      <w:pPr>
        <w:spacing w:line="600" w:lineRule="exact"/>
        <w:jc w:val="both"/>
        <w:rPr>
          <w:rFonts w:ascii="仿宋" w:hAnsi="仿宋" w:eastAsia="仿宋" w:cs="仿宋"/>
          <w:color w:val="auto"/>
          <w:sz w:val="32"/>
        </w:rPr>
      </w:pPr>
    </w:p>
    <w:p>
      <w:pPr>
        <w:numPr>
          <w:ilvl w:val="0"/>
          <w:numId w:val="1"/>
        </w:numPr>
        <w:spacing w:line="600" w:lineRule="exact"/>
        <w:jc w:val="center"/>
        <w:rPr>
          <w:rFonts w:ascii="黑体" w:hAnsi="黑体" w:eastAsia="黑体" w:cs="黑体"/>
          <w:color w:val="auto"/>
          <w:sz w:val="32"/>
        </w:rPr>
      </w:pPr>
      <w:r>
        <w:rPr>
          <w:rFonts w:hint="eastAsia" w:ascii="黑体" w:hAnsi="黑体" w:eastAsia="黑体" w:cs="黑体"/>
          <w:color w:val="auto"/>
          <w:sz w:val="32"/>
        </w:rPr>
        <w:t xml:space="preserve"> 审核</w:t>
      </w:r>
    </w:p>
    <w:p>
      <w:pPr>
        <w:numPr>
          <w:ilvl w:val="255"/>
          <w:numId w:val="0"/>
        </w:numPr>
        <w:spacing w:line="600" w:lineRule="exact"/>
        <w:rPr>
          <w:rFonts w:ascii="黑体" w:hAnsi="黑体" w:eastAsia="黑体" w:cs="黑体"/>
          <w:color w:val="auto"/>
          <w:sz w:val="32"/>
        </w:rPr>
      </w:pPr>
    </w:p>
    <w:p>
      <w:pPr>
        <w:spacing w:line="600" w:lineRule="exact"/>
        <w:ind w:firstLine="640" w:firstLineChars="200"/>
        <w:rPr>
          <w:rFonts w:eastAsia="仿宋_GB2312"/>
          <w:color w:val="auto"/>
          <w:sz w:val="32"/>
          <w:szCs w:val="32"/>
        </w:rPr>
      </w:pPr>
      <w:r>
        <w:rPr>
          <w:rFonts w:eastAsia="仿宋_GB2312"/>
          <w:color w:val="auto"/>
          <w:sz w:val="32"/>
          <w:szCs w:val="32"/>
        </w:rPr>
        <w:t xml:space="preserve">第八条 </w:t>
      </w:r>
      <w:r>
        <w:rPr>
          <w:rFonts w:hint="eastAsia" w:eastAsia="仿宋_GB2312"/>
          <w:color w:val="auto"/>
          <w:sz w:val="32"/>
          <w:szCs w:val="32"/>
        </w:rPr>
        <w:t>地级市及省医疗保障局对受理的</w:t>
      </w:r>
      <w:r>
        <w:rPr>
          <w:rFonts w:eastAsia="仿宋_GB2312"/>
          <w:color w:val="auto"/>
          <w:sz w:val="32"/>
          <w:szCs w:val="32"/>
        </w:rPr>
        <w:t>新增医疗服务价格项目</w:t>
      </w:r>
      <w:r>
        <w:rPr>
          <w:rFonts w:hint="eastAsia" w:eastAsia="仿宋_GB2312"/>
          <w:color w:val="auto"/>
          <w:sz w:val="32"/>
          <w:szCs w:val="32"/>
        </w:rPr>
        <w:t>进行逐级审核。省医疗保障局审核后公布，</w:t>
      </w:r>
      <w:r>
        <w:rPr>
          <w:rFonts w:hint="eastAsia" w:ascii="仿宋_GB2312" w:eastAsia="仿宋_GB2312"/>
          <w:color w:val="auto"/>
          <w:sz w:val="32"/>
          <w:szCs w:val="32"/>
        </w:rPr>
        <w:t>原则上每年启动一次审核工作</w:t>
      </w:r>
      <w:r>
        <w:rPr>
          <w:rFonts w:eastAsia="仿宋_GB2312"/>
          <w:color w:val="auto"/>
          <w:sz w:val="32"/>
          <w:szCs w:val="32"/>
        </w:rPr>
        <w:t>，如遇紧急疫情等特殊情况，随时进行审核。</w:t>
      </w:r>
    </w:p>
    <w:p>
      <w:pPr>
        <w:spacing w:line="600" w:lineRule="exact"/>
        <w:ind w:firstLine="640" w:firstLineChars="200"/>
        <w:rPr>
          <w:rFonts w:eastAsia="仿宋_GB2312"/>
          <w:color w:val="auto"/>
          <w:sz w:val="32"/>
        </w:rPr>
      </w:pPr>
      <w:r>
        <w:rPr>
          <w:rFonts w:eastAsia="仿宋_GB2312"/>
          <w:color w:val="auto"/>
          <w:sz w:val="32"/>
          <w:szCs w:val="32"/>
        </w:rPr>
        <w:t>第</w:t>
      </w:r>
      <w:r>
        <w:rPr>
          <w:rFonts w:hint="eastAsia" w:eastAsia="仿宋_GB2312"/>
          <w:color w:val="auto"/>
          <w:sz w:val="32"/>
          <w:szCs w:val="32"/>
        </w:rPr>
        <w:t>九</w:t>
      </w:r>
      <w:r>
        <w:rPr>
          <w:rFonts w:eastAsia="仿宋_GB2312"/>
          <w:color w:val="auto"/>
          <w:sz w:val="32"/>
          <w:szCs w:val="32"/>
        </w:rPr>
        <w:t xml:space="preserve">条 </w:t>
      </w:r>
      <w:r>
        <w:rPr>
          <w:rFonts w:eastAsia="仿宋_GB2312"/>
          <w:color w:val="auto"/>
          <w:sz w:val="32"/>
        </w:rPr>
        <w:t>有下列情形之一的，审核不予通过：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一</w:t>
      </w:r>
      <w:r>
        <w:rPr>
          <w:rFonts w:hint="eastAsia" w:ascii="仿宋_GB2312" w:eastAsia="仿宋_GB2312"/>
          <w:color w:val="auto"/>
          <w:sz w:val="32"/>
          <w:szCs w:val="32"/>
        </w:rPr>
        <w:t>）属于非医疗活动的，包括但不限于教育培训、科研随访、数据处理、资料复制、便民服务、生活照料、精神慰藉、养生保健等。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）属于医疗活动，但服务和收费的性质属于公共卫生服务、行政事业性收费、经营服务性收费，或医疗机构代收费的。</w:t>
      </w:r>
    </w:p>
    <w:p>
      <w:pPr>
        <w:spacing w:line="24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）属于医疗活动，但仅发生于医疗机构之间、医疗机构与其他机构之间，不直接面向患者的服务。</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）属于医疗机构应尽义务事项。</w:t>
      </w:r>
    </w:p>
    <w:p>
      <w:pPr>
        <w:spacing w:line="600" w:lineRule="exact"/>
        <w:ind w:firstLine="0" w:firstLineChars="0"/>
        <w:rPr>
          <w:rFonts w:eastAsia="仿宋_GB2312"/>
          <w:color w:val="auto"/>
          <w:sz w:val="32"/>
        </w:rPr>
      </w:pPr>
      <w:r>
        <w:rPr>
          <w:rFonts w:eastAsia="仿宋_GB2312"/>
          <w:color w:val="auto"/>
          <w:sz w:val="32"/>
        </w:rPr>
        <w:t xml:space="preserve"> </w:t>
      </w:r>
      <w:r>
        <w:rPr>
          <w:rFonts w:hint="eastAsia" w:eastAsia="仿宋_GB2312"/>
          <w:color w:val="auto"/>
          <w:sz w:val="32"/>
          <w:lang w:val="en-US" w:eastAsia="zh-CN"/>
        </w:rPr>
        <w:t xml:space="preserve">   </w:t>
      </w:r>
      <w:r>
        <w:rPr>
          <w:rFonts w:eastAsia="仿宋_GB2312"/>
          <w:color w:val="auto"/>
          <w:sz w:val="32"/>
        </w:rPr>
        <w:t>（</w:t>
      </w:r>
      <w:r>
        <w:rPr>
          <w:rFonts w:hint="eastAsia" w:eastAsia="仿宋_GB2312"/>
          <w:color w:val="auto"/>
          <w:sz w:val="32"/>
        </w:rPr>
        <w:t>五</w:t>
      </w:r>
      <w:r>
        <w:rPr>
          <w:rFonts w:eastAsia="仿宋_GB2312"/>
          <w:color w:val="auto"/>
          <w:sz w:val="32"/>
        </w:rPr>
        <w:t>）</w:t>
      </w:r>
      <w:r>
        <w:rPr>
          <w:rFonts w:hint="eastAsia" w:ascii="仿宋_GB2312" w:eastAsia="仿宋_GB2312"/>
          <w:color w:val="auto"/>
          <w:sz w:val="32"/>
          <w:szCs w:val="32"/>
        </w:rPr>
        <w:t>属于临床试验阶段，</w:t>
      </w:r>
      <w:r>
        <w:rPr>
          <w:rFonts w:eastAsia="仿宋_GB2312"/>
          <w:color w:val="auto"/>
          <w:sz w:val="32"/>
        </w:rPr>
        <w:t>技术尚不成熟，或落后的、已被淘汰的项目。</w:t>
      </w:r>
    </w:p>
    <w:p>
      <w:pPr>
        <w:spacing w:line="600" w:lineRule="exact"/>
        <w:ind w:firstLine="640" w:firstLineChars="200"/>
        <w:rPr>
          <w:rFonts w:ascii="仿宋_GB2312" w:eastAsia="仿宋_GB2312"/>
          <w:color w:val="auto"/>
          <w:sz w:val="32"/>
          <w:szCs w:val="32"/>
        </w:rPr>
      </w:pPr>
      <w:r>
        <w:rPr>
          <w:rFonts w:hint="eastAsia" w:eastAsia="仿宋_GB2312"/>
          <w:color w:val="auto"/>
          <w:sz w:val="32"/>
        </w:rPr>
        <w:t>（</w:t>
      </w:r>
      <w:r>
        <w:rPr>
          <w:rFonts w:hint="eastAsia" w:eastAsia="仿宋_GB2312"/>
          <w:color w:val="auto"/>
          <w:sz w:val="32"/>
          <w:lang w:eastAsia="zh-CN"/>
        </w:rPr>
        <w:t>六</w:t>
      </w:r>
      <w:r>
        <w:rPr>
          <w:rFonts w:hint="eastAsia" w:eastAsia="仿宋_GB2312"/>
          <w:color w:val="auto"/>
          <w:sz w:val="32"/>
        </w:rPr>
        <w:t>）</w:t>
      </w:r>
      <w:r>
        <w:rPr>
          <w:rFonts w:hint="eastAsia" w:ascii="仿宋_GB2312" w:eastAsia="仿宋_GB2312"/>
          <w:color w:val="auto"/>
          <w:sz w:val="32"/>
          <w:szCs w:val="32"/>
        </w:rPr>
        <w:t>属于拆解、拼接、组合</w:t>
      </w:r>
      <w:r>
        <w:rPr>
          <w:rFonts w:eastAsia="仿宋_GB2312"/>
          <w:color w:val="auto"/>
          <w:sz w:val="32"/>
        </w:rPr>
        <w:t>全省统一医疗服务价格项目</w:t>
      </w:r>
      <w:r>
        <w:rPr>
          <w:rFonts w:hint="eastAsia" w:ascii="仿宋_GB2312" w:eastAsia="仿宋_GB2312"/>
          <w:color w:val="auto"/>
          <w:sz w:val="32"/>
          <w:szCs w:val="32"/>
        </w:rPr>
        <w:t>。</w:t>
      </w:r>
    </w:p>
    <w:p>
      <w:pPr>
        <w:spacing w:line="24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七</w:t>
      </w:r>
      <w:r>
        <w:rPr>
          <w:rFonts w:hint="eastAsia" w:ascii="仿宋_GB2312" w:eastAsia="仿宋_GB2312"/>
          <w:color w:val="auto"/>
          <w:sz w:val="32"/>
          <w:szCs w:val="32"/>
        </w:rPr>
        <w:t>）项目名称不规范，没有项目内涵或内涵不清晰，变更</w:t>
      </w:r>
      <w:r>
        <w:rPr>
          <w:rFonts w:eastAsia="仿宋_GB2312"/>
          <w:color w:val="auto"/>
          <w:sz w:val="32"/>
        </w:rPr>
        <w:t>全省统一医疗服务价格项目</w:t>
      </w:r>
      <w:r>
        <w:rPr>
          <w:rFonts w:hint="eastAsia" w:eastAsia="仿宋_GB2312"/>
          <w:color w:val="auto"/>
          <w:sz w:val="32"/>
        </w:rPr>
        <w:t>名称、内涵</w:t>
      </w:r>
      <w:r>
        <w:rPr>
          <w:rFonts w:hint="eastAsia" w:ascii="仿宋_GB2312" w:eastAsia="仿宋_GB2312"/>
          <w:color w:val="auto"/>
          <w:sz w:val="32"/>
          <w:szCs w:val="32"/>
        </w:rPr>
        <w:t>。</w:t>
      </w:r>
    </w:p>
    <w:p>
      <w:pPr>
        <w:spacing w:line="600" w:lineRule="exact"/>
        <w:ind w:firstLine="648"/>
        <w:rPr>
          <w:rFonts w:hint="eastAsia" w:eastAsia="仿宋_GB2312"/>
          <w:color w:val="auto"/>
          <w:sz w:val="32"/>
        </w:rPr>
      </w:pPr>
      <w:r>
        <w:rPr>
          <w:rFonts w:eastAsia="仿宋_GB2312"/>
          <w:color w:val="auto"/>
          <w:sz w:val="32"/>
        </w:rPr>
        <w:t>（</w:t>
      </w:r>
      <w:r>
        <w:rPr>
          <w:rFonts w:hint="eastAsia" w:eastAsia="仿宋_GB2312"/>
          <w:color w:val="auto"/>
          <w:sz w:val="32"/>
          <w:lang w:eastAsia="zh-CN"/>
        </w:rPr>
        <w:t>八</w:t>
      </w:r>
      <w:r>
        <w:rPr>
          <w:rFonts w:eastAsia="仿宋_GB2312"/>
          <w:color w:val="auto"/>
          <w:sz w:val="32"/>
        </w:rPr>
        <w:t>）虽然使用新技术、新设备、新试剂等，但诊疗目的、内容与全省统一医疗服务价格项目内的项目一致，诊疗效果无明显提高，成本上升较大，不符合卫生经济学要求的。</w:t>
      </w:r>
    </w:p>
    <w:p>
      <w:pPr>
        <w:spacing w:line="600" w:lineRule="exact"/>
        <w:rPr>
          <w:rFonts w:eastAsia="仿宋_GB2312"/>
          <w:color w:val="auto"/>
          <w:sz w:val="32"/>
        </w:rPr>
      </w:pPr>
      <w:r>
        <w:rPr>
          <w:rFonts w:eastAsia="仿宋_GB2312"/>
          <w:color w:val="auto"/>
          <w:sz w:val="32"/>
        </w:rPr>
        <w:t xml:space="preserve">    （</w:t>
      </w:r>
      <w:r>
        <w:rPr>
          <w:rFonts w:hint="eastAsia" w:eastAsia="仿宋_GB2312"/>
          <w:color w:val="auto"/>
          <w:sz w:val="32"/>
          <w:lang w:eastAsia="zh-CN"/>
        </w:rPr>
        <w:t>九</w:t>
      </w:r>
      <w:r>
        <w:rPr>
          <w:rFonts w:eastAsia="仿宋_GB2312"/>
          <w:color w:val="auto"/>
          <w:sz w:val="32"/>
        </w:rPr>
        <w:t>）被相关职能部门取消或废止的项目。</w:t>
      </w:r>
    </w:p>
    <w:p>
      <w:pPr>
        <w:spacing w:line="600" w:lineRule="exact"/>
        <w:ind w:firstLine="640" w:firstLineChars="200"/>
        <w:rPr>
          <w:rFonts w:hint="eastAsia" w:eastAsia="仿宋_GB2312"/>
          <w:color w:val="auto"/>
          <w:sz w:val="32"/>
        </w:rPr>
      </w:pPr>
      <w:r>
        <w:rPr>
          <w:rFonts w:eastAsia="仿宋_GB2312"/>
          <w:color w:val="auto"/>
          <w:sz w:val="32"/>
        </w:rPr>
        <w:t>（</w:t>
      </w:r>
      <w:r>
        <w:rPr>
          <w:rFonts w:hint="eastAsia" w:eastAsia="仿宋_GB2312"/>
          <w:color w:val="auto"/>
          <w:sz w:val="32"/>
        </w:rPr>
        <w:t>十</w:t>
      </w:r>
      <w:r>
        <w:rPr>
          <w:rFonts w:eastAsia="仿宋_GB2312"/>
          <w:color w:val="auto"/>
          <w:sz w:val="32"/>
        </w:rPr>
        <w:t>）其他违反法律法规和政策的项目。</w:t>
      </w:r>
    </w:p>
    <w:p>
      <w:pPr>
        <w:spacing w:line="600" w:lineRule="exact"/>
        <w:ind w:firstLine="640" w:firstLineChars="200"/>
        <w:rPr>
          <w:rFonts w:eastAsia="仿宋_GB2312"/>
          <w:color w:val="auto"/>
          <w:sz w:val="32"/>
          <w:szCs w:val="32"/>
        </w:rPr>
      </w:pPr>
      <w:r>
        <w:rPr>
          <w:rFonts w:eastAsia="仿宋_GB2312"/>
          <w:color w:val="auto"/>
          <w:sz w:val="32"/>
          <w:szCs w:val="32"/>
        </w:rPr>
        <w:t>第十条 省医疗保障局审核时应组织专家论证。论证时选取医疗、医务管理、价格（收费）管理及医保管理专家，专家人数为不少于7人的奇数。与申报项目有利益关系的专家实行回避。</w:t>
      </w:r>
    </w:p>
    <w:p>
      <w:pPr>
        <w:spacing w:line="600" w:lineRule="exact"/>
        <w:ind w:firstLine="640" w:firstLineChars="200"/>
        <w:rPr>
          <w:rFonts w:eastAsia="仿宋_GB2312"/>
          <w:color w:val="auto"/>
          <w:sz w:val="32"/>
          <w:szCs w:val="32"/>
        </w:rPr>
      </w:pPr>
      <w:r>
        <w:rPr>
          <w:rFonts w:eastAsia="仿宋_GB2312"/>
          <w:color w:val="auto"/>
          <w:sz w:val="32"/>
          <w:szCs w:val="32"/>
        </w:rPr>
        <w:t>专家对项目进行论证，独立出具“建议立项”或“不建议立项”的论证意见并说明理由。凡超过三分之二专家建议立项的项目视为通过专家论证。对通过专家论证的项目，专家组应确定项目名称、项目内涵、计价单位、除外内容和说明等价格要素内容。</w:t>
      </w:r>
    </w:p>
    <w:p>
      <w:pPr>
        <w:spacing w:line="600" w:lineRule="exact"/>
        <w:ind w:firstLine="640"/>
        <w:rPr>
          <w:rFonts w:eastAsia="仿宋_GB2312"/>
          <w:color w:val="auto"/>
          <w:sz w:val="32"/>
          <w:szCs w:val="32"/>
        </w:rPr>
      </w:pPr>
      <w:r>
        <w:rPr>
          <w:rFonts w:eastAsia="仿宋_GB2312"/>
          <w:color w:val="auto"/>
          <w:sz w:val="32"/>
          <w:szCs w:val="32"/>
        </w:rPr>
        <w:t xml:space="preserve">第十一条 </w:t>
      </w:r>
      <w:r>
        <w:rPr>
          <w:rFonts w:eastAsia="仿宋_GB2312"/>
          <w:color w:val="auto"/>
          <w:sz w:val="32"/>
        </w:rPr>
        <w:t>省医疗保障局参考专家论证意见，对新增医疗服务价格项目申请进行审核，</w:t>
      </w:r>
      <w:r>
        <w:rPr>
          <w:rFonts w:eastAsia="仿宋_GB2312"/>
          <w:color w:val="auto"/>
          <w:sz w:val="32"/>
          <w:szCs w:val="32"/>
        </w:rPr>
        <w:t>审核结果挂网公示</w:t>
      </w:r>
      <w:r>
        <w:rPr>
          <w:rFonts w:hint="eastAsia" w:eastAsia="仿宋_GB2312"/>
          <w:color w:val="auto"/>
          <w:sz w:val="32"/>
          <w:szCs w:val="32"/>
        </w:rPr>
        <w:t>7</w:t>
      </w:r>
      <w:r>
        <w:rPr>
          <w:rFonts w:eastAsia="仿宋_GB2312"/>
          <w:color w:val="auto"/>
          <w:sz w:val="32"/>
          <w:szCs w:val="32"/>
        </w:rPr>
        <w:t>个工作日。</w:t>
      </w:r>
    </w:p>
    <w:p>
      <w:pPr>
        <w:spacing w:line="600" w:lineRule="exact"/>
        <w:ind w:firstLine="640" w:firstLineChars="200"/>
        <w:rPr>
          <w:rFonts w:eastAsia="仿宋_GB2312"/>
          <w:color w:val="auto"/>
          <w:sz w:val="32"/>
          <w:szCs w:val="32"/>
        </w:rPr>
      </w:pPr>
      <w:r>
        <w:rPr>
          <w:rFonts w:eastAsia="仿宋_GB2312"/>
          <w:color w:val="auto"/>
          <w:sz w:val="32"/>
          <w:szCs w:val="32"/>
        </w:rPr>
        <w:t>第十二条 省医疗保障局对公示有质疑的项目进行再次论证审核。</w:t>
      </w:r>
      <w:bookmarkStart w:id="0" w:name="_GoBack"/>
      <w:bookmarkEnd w:id="0"/>
    </w:p>
    <w:p>
      <w:pPr>
        <w:spacing w:line="600" w:lineRule="exact"/>
        <w:ind w:firstLine="640" w:firstLineChars="200"/>
        <w:rPr>
          <w:rFonts w:eastAsia="仿宋_GB2312"/>
          <w:color w:val="auto"/>
          <w:sz w:val="32"/>
          <w:szCs w:val="32"/>
        </w:rPr>
      </w:pPr>
      <w:r>
        <w:rPr>
          <w:rFonts w:eastAsia="仿宋_GB2312"/>
          <w:color w:val="auto"/>
          <w:sz w:val="32"/>
          <w:szCs w:val="32"/>
        </w:rPr>
        <w:t>第十三条 通过审核的项目，省医疗保障局予以公布实施，同时抄送国家医疗保障局。</w:t>
      </w:r>
    </w:p>
    <w:p>
      <w:pPr>
        <w:spacing w:line="600" w:lineRule="exact"/>
        <w:rPr>
          <w:rFonts w:ascii="仿宋" w:hAnsi="仿宋" w:eastAsia="仿宋" w:cs="仿宋"/>
          <w:color w:val="auto"/>
          <w:sz w:val="32"/>
        </w:rPr>
      </w:pPr>
    </w:p>
    <w:p>
      <w:pPr>
        <w:numPr>
          <w:ilvl w:val="0"/>
          <w:numId w:val="1"/>
        </w:numPr>
        <w:spacing w:line="600" w:lineRule="exact"/>
        <w:jc w:val="center"/>
        <w:rPr>
          <w:rFonts w:ascii="黑体" w:hAnsi="黑体" w:eastAsia="黑体" w:cs="黑体"/>
          <w:color w:val="auto"/>
          <w:sz w:val="32"/>
        </w:rPr>
      </w:pPr>
      <w:r>
        <w:rPr>
          <w:rFonts w:hint="eastAsia" w:ascii="黑体" w:hAnsi="黑体" w:eastAsia="黑体" w:cs="黑体"/>
          <w:color w:val="auto"/>
          <w:sz w:val="32"/>
        </w:rPr>
        <w:t xml:space="preserve"> 实施</w:t>
      </w:r>
    </w:p>
    <w:p>
      <w:pPr>
        <w:numPr>
          <w:ilvl w:val="255"/>
          <w:numId w:val="0"/>
        </w:numPr>
        <w:spacing w:line="600" w:lineRule="exact"/>
        <w:rPr>
          <w:rFonts w:ascii="黑体" w:hAnsi="黑体" w:eastAsia="黑体" w:cs="黑体"/>
          <w:color w:val="auto"/>
          <w:sz w:val="32"/>
        </w:rPr>
      </w:pPr>
    </w:p>
    <w:p>
      <w:pPr>
        <w:spacing w:line="600" w:lineRule="exact"/>
        <w:ind w:firstLine="640"/>
        <w:rPr>
          <w:rFonts w:eastAsia="仿宋_GB2312"/>
          <w:color w:val="auto"/>
          <w:sz w:val="32"/>
        </w:rPr>
      </w:pPr>
      <w:r>
        <w:rPr>
          <w:rFonts w:eastAsia="仿宋_GB2312"/>
          <w:color w:val="auto"/>
          <w:sz w:val="32"/>
        </w:rPr>
        <w:t>第十四条</w:t>
      </w:r>
      <w:r>
        <w:rPr>
          <w:rFonts w:hint="eastAsia" w:eastAsia="仿宋_GB2312"/>
          <w:color w:val="auto"/>
          <w:sz w:val="32"/>
        </w:rPr>
        <w:t xml:space="preserve"> </w:t>
      </w:r>
      <w:r>
        <w:rPr>
          <w:rFonts w:eastAsia="仿宋_GB2312"/>
          <w:color w:val="auto"/>
          <w:sz w:val="32"/>
        </w:rPr>
        <w:t>省医疗保障局公布实施的新增医疗服务价格项目，在全省非营利性医疗机构中试行，试行期最长不超过两年，试行期间由医疗机构自主制定价格。医疗机构应遵循公开透明、合法合理、诚实信用的原则制定新增医疗服务价格项目试行价格。</w:t>
      </w:r>
    </w:p>
    <w:p>
      <w:pPr>
        <w:spacing w:line="600" w:lineRule="exact"/>
        <w:ind w:firstLine="640"/>
        <w:rPr>
          <w:rFonts w:eastAsia="仿宋_GB2312"/>
          <w:color w:val="auto"/>
          <w:sz w:val="32"/>
        </w:rPr>
      </w:pPr>
      <w:r>
        <w:rPr>
          <w:rFonts w:eastAsia="仿宋_GB2312"/>
          <w:color w:val="auto"/>
          <w:sz w:val="32"/>
        </w:rPr>
        <w:t>第十五条</w:t>
      </w:r>
      <w:r>
        <w:rPr>
          <w:rFonts w:hint="eastAsia" w:eastAsia="仿宋_GB2312"/>
          <w:color w:val="auto"/>
          <w:sz w:val="32"/>
        </w:rPr>
        <w:t xml:space="preserve"> </w:t>
      </w:r>
      <w:r>
        <w:rPr>
          <w:rFonts w:eastAsia="仿宋_GB2312"/>
          <w:color w:val="auto"/>
          <w:sz w:val="32"/>
        </w:rPr>
        <w:t>新增医疗服务价格项目在试行期间，遇下列情况之一，医疗机构应及时向所在地级市医疗保障局报告，由地级市医疗保障局向省医疗保障局提出取消立项建议，省医疗保障局发文取消。</w:t>
      </w:r>
    </w:p>
    <w:p>
      <w:pPr>
        <w:spacing w:line="600" w:lineRule="exact"/>
        <w:ind w:firstLine="640"/>
        <w:rPr>
          <w:rFonts w:eastAsia="仿宋_GB2312"/>
          <w:color w:val="auto"/>
          <w:sz w:val="32"/>
        </w:rPr>
      </w:pPr>
      <w:r>
        <w:rPr>
          <w:rFonts w:eastAsia="仿宋_GB2312"/>
          <w:color w:val="auto"/>
          <w:sz w:val="32"/>
        </w:rPr>
        <w:t>（一）项目涉及的医疗技术被卫生行政部门禁止临床应用，或重点管理类医疗技术被卫生行政部门</w:t>
      </w:r>
      <w:r>
        <w:rPr>
          <w:rFonts w:hint="eastAsia" w:eastAsia="仿宋_GB2312"/>
          <w:color w:val="auto"/>
          <w:sz w:val="32"/>
        </w:rPr>
        <w:t>注销</w:t>
      </w:r>
      <w:r>
        <w:rPr>
          <w:rFonts w:eastAsia="仿宋_GB2312"/>
          <w:color w:val="auto"/>
          <w:sz w:val="32"/>
        </w:rPr>
        <w:t>备案。</w:t>
      </w:r>
    </w:p>
    <w:p>
      <w:pPr>
        <w:spacing w:line="600" w:lineRule="exact"/>
        <w:ind w:firstLine="640"/>
        <w:rPr>
          <w:rFonts w:eastAsia="仿宋_GB2312"/>
          <w:color w:val="auto"/>
          <w:sz w:val="32"/>
        </w:rPr>
      </w:pPr>
      <w:r>
        <w:rPr>
          <w:rFonts w:eastAsia="仿宋_GB2312"/>
          <w:color w:val="auto"/>
          <w:sz w:val="32"/>
        </w:rPr>
        <w:t>（二）项目涉及的关键设备、器械、试剂等相关注册、批复等废止失效。</w:t>
      </w:r>
    </w:p>
    <w:p>
      <w:pPr>
        <w:spacing w:line="600" w:lineRule="exact"/>
        <w:ind w:firstLine="640"/>
        <w:rPr>
          <w:rFonts w:eastAsia="仿宋_GB2312"/>
          <w:color w:val="auto"/>
          <w:sz w:val="32"/>
        </w:rPr>
      </w:pPr>
      <w:r>
        <w:rPr>
          <w:rFonts w:hint="eastAsia" w:eastAsia="仿宋_GB2312"/>
          <w:color w:val="auto"/>
          <w:sz w:val="32"/>
        </w:rPr>
        <w:t>（三）</w:t>
      </w:r>
      <w:r>
        <w:rPr>
          <w:rFonts w:eastAsia="仿宋_GB2312"/>
          <w:color w:val="auto"/>
          <w:sz w:val="32"/>
        </w:rPr>
        <w:t>临床证明达不到预期诊疗效果。</w:t>
      </w:r>
    </w:p>
    <w:p>
      <w:pPr>
        <w:spacing w:line="600" w:lineRule="exact"/>
        <w:ind w:firstLine="640"/>
        <w:rPr>
          <w:rFonts w:eastAsia="仿宋_GB2312"/>
          <w:color w:val="auto"/>
          <w:sz w:val="32"/>
        </w:rPr>
      </w:pPr>
      <w:r>
        <w:rPr>
          <w:rFonts w:eastAsia="仿宋_GB2312"/>
          <w:color w:val="auto"/>
          <w:sz w:val="32"/>
        </w:rPr>
        <w:t>（</w:t>
      </w:r>
      <w:r>
        <w:rPr>
          <w:rFonts w:hint="eastAsia" w:eastAsia="仿宋_GB2312"/>
          <w:color w:val="auto"/>
          <w:sz w:val="32"/>
        </w:rPr>
        <w:t>四</w:t>
      </w:r>
      <w:r>
        <w:rPr>
          <w:rFonts w:eastAsia="仿宋_GB2312"/>
          <w:color w:val="auto"/>
          <w:sz w:val="32"/>
        </w:rPr>
        <w:t>）项目服务内容、服务规范方面难以明确界定、歧义较大，造成投诉、纠纷较多。</w:t>
      </w:r>
    </w:p>
    <w:p>
      <w:pPr>
        <w:spacing w:line="600" w:lineRule="exact"/>
        <w:rPr>
          <w:rFonts w:ascii="仿宋" w:hAnsi="仿宋" w:eastAsia="仿宋" w:cs="仿宋"/>
          <w:color w:val="auto"/>
          <w:sz w:val="32"/>
        </w:rPr>
      </w:pPr>
    </w:p>
    <w:p>
      <w:pPr>
        <w:numPr>
          <w:ilvl w:val="255"/>
          <w:numId w:val="0"/>
        </w:numPr>
        <w:spacing w:line="600" w:lineRule="exact"/>
        <w:jc w:val="center"/>
        <w:rPr>
          <w:rFonts w:ascii="仿宋" w:hAnsi="仿宋" w:eastAsia="仿宋" w:cs="仿宋"/>
          <w:color w:val="auto"/>
          <w:sz w:val="32"/>
        </w:rPr>
      </w:pPr>
      <w:r>
        <w:rPr>
          <w:rFonts w:hint="eastAsia" w:ascii="黑体" w:hAnsi="黑体" w:eastAsia="黑体" w:cs="黑体"/>
          <w:color w:val="auto"/>
          <w:sz w:val="32"/>
        </w:rPr>
        <w:t>第五章  转归</w:t>
      </w:r>
    </w:p>
    <w:p>
      <w:pPr>
        <w:numPr>
          <w:ilvl w:val="255"/>
          <w:numId w:val="0"/>
        </w:numPr>
        <w:spacing w:line="600" w:lineRule="exact"/>
        <w:rPr>
          <w:rFonts w:ascii="仿宋" w:hAnsi="仿宋" w:eastAsia="仿宋" w:cs="仿宋"/>
          <w:color w:val="auto"/>
          <w:sz w:val="32"/>
        </w:rPr>
      </w:pPr>
      <w:r>
        <w:rPr>
          <w:rFonts w:ascii="仿宋" w:hAnsi="仿宋" w:eastAsia="仿宋" w:cs="仿宋"/>
          <w:color w:val="auto"/>
          <w:sz w:val="32"/>
        </w:rPr>
        <w:t xml:space="preserve"> </w:t>
      </w:r>
    </w:p>
    <w:p>
      <w:pPr>
        <w:spacing w:line="600" w:lineRule="exact"/>
        <w:ind w:firstLine="640"/>
        <w:rPr>
          <w:rFonts w:eastAsia="仿宋_GB2312"/>
          <w:color w:val="auto"/>
          <w:sz w:val="32"/>
        </w:rPr>
      </w:pPr>
      <w:r>
        <w:rPr>
          <w:rFonts w:eastAsia="仿宋_GB2312"/>
          <w:color w:val="auto"/>
          <w:sz w:val="32"/>
        </w:rPr>
        <w:t>第十六条</w:t>
      </w:r>
      <w:r>
        <w:rPr>
          <w:rFonts w:hint="eastAsia" w:eastAsia="仿宋_GB2312"/>
          <w:color w:val="auto"/>
          <w:sz w:val="32"/>
        </w:rPr>
        <w:t xml:space="preserve"> </w:t>
      </w:r>
      <w:r>
        <w:rPr>
          <w:rFonts w:eastAsia="仿宋_GB2312"/>
          <w:color w:val="auto"/>
          <w:sz w:val="32"/>
        </w:rPr>
        <w:t>新增医疗服务价格项目试行一年后，原申报地级以上市医疗保障局按以下分类向省医疗保障局提出转归申请：经临床证明达到预期诊疗效果、符合基本医疗服务诊疗范围的项目，申请纳入基本医疗服务价格项目；对于疗效好且符合市场调节价准入条件的项目，申请纳入市场调节价项目。</w:t>
      </w:r>
    </w:p>
    <w:p>
      <w:pPr>
        <w:spacing w:line="600" w:lineRule="exact"/>
        <w:ind w:firstLine="640"/>
        <w:rPr>
          <w:rFonts w:eastAsia="仿宋_GB2312"/>
          <w:color w:val="auto"/>
          <w:sz w:val="32"/>
        </w:rPr>
      </w:pPr>
      <w:r>
        <w:rPr>
          <w:rFonts w:eastAsia="仿宋_GB2312"/>
          <w:color w:val="auto"/>
          <w:sz w:val="32"/>
        </w:rPr>
        <w:t>第十七条 省医疗保障局组织新增医疗服务价格项目转归专家论证，由专家独立出具“建议保留为基本项目”、“建议保留为市场价项目”或“建议取消”的论证意见。必要时可委托专业机构开展卫生经济学评估。</w:t>
      </w:r>
    </w:p>
    <w:p>
      <w:pPr>
        <w:spacing w:line="600" w:lineRule="exact"/>
        <w:ind w:firstLine="640"/>
        <w:rPr>
          <w:rFonts w:eastAsia="仿宋_GB2312"/>
          <w:color w:val="auto"/>
          <w:sz w:val="32"/>
          <w:szCs w:val="32"/>
        </w:rPr>
      </w:pPr>
      <w:r>
        <w:rPr>
          <w:rFonts w:eastAsia="仿宋_GB2312"/>
          <w:color w:val="auto"/>
          <w:sz w:val="32"/>
        </w:rPr>
        <w:t>第十八条</w:t>
      </w:r>
      <w:r>
        <w:rPr>
          <w:rFonts w:hint="eastAsia" w:eastAsia="仿宋_GB2312"/>
          <w:color w:val="auto"/>
          <w:sz w:val="32"/>
        </w:rPr>
        <w:t xml:space="preserve"> </w:t>
      </w:r>
      <w:r>
        <w:rPr>
          <w:rFonts w:eastAsia="仿宋_GB2312"/>
          <w:color w:val="auto"/>
          <w:sz w:val="32"/>
        </w:rPr>
        <w:t>省医疗保障局参考专家论证或卫生经济学评估结论，对转归申请进行审核，并将</w:t>
      </w:r>
      <w:r>
        <w:rPr>
          <w:rFonts w:eastAsia="仿宋_GB2312"/>
          <w:color w:val="auto"/>
          <w:sz w:val="32"/>
          <w:szCs w:val="32"/>
        </w:rPr>
        <w:t>审核结果挂网公示</w:t>
      </w:r>
      <w:r>
        <w:rPr>
          <w:rFonts w:hint="eastAsia" w:eastAsia="仿宋_GB2312"/>
          <w:color w:val="auto"/>
          <w:sz w:val="32"/>
          <w:szCs w:val="32"/>
        </w:rPr>
        <w:t>7</w:t>
      </w:r>
      <w:r>
        <w:rPr>
          <w:rFonts w:eastAsia="仿宋_GB2312"/>
          <w:color w:val="auto"/>
          <w:sz w:val="32"/>
          <w:szCs w:val="32"/>
        </w:rPr>
        <w:t>个工作日</w:t>
      </w:r>
      <w:r>
        <w:rPr>
          <w:rFonts w:hint="eastAsia" w:eastAsia="仿宋_GB2312"/>
          <w:color w:val="auto"/>
          <w:sz w:val="32"/>
          <w:szCs w:val="32"/>
        </w:rPr>
        <w:t>。</w:t>
      </w:r>
      <w:r>
        <w:rPr>
          <w:rFonts w:eastAsia="仿宋_GB2312"/>
          <w:color w:val="auto"/>
          <w:sz w:val="32"/>
          <w:szCs w:val="32"/>
        </w:rPr>
        <w:t>对</w:t>
      </w:r>
      <w:r>
        <w:rPr>
          <w:rFonts w:hint="eastAsia" w:eastAsia="仿宋_GB2312"/>
          <w:color w:val="auto"/>
          <w:sz w:val="32"/>
          <w:szCs w:val="32"/>
        </w:rPr>
        <w:t>转归论证未通过的项目和</w:t>
      </w:r>
      <w:r>
        <w:rPr>
          <w:rFonts w:eastAsia="仿宋_GB2312"/>
          <w:color w:val="auto"/>
          <w:sz w:val="32"/>
          <w:szCs w:val="32"/>
        </w:rPr>
        <w:t>公示有质疑的项目</w:t>
      </w:r>
      <w:r>
        <w:rPr>
          <w:rFonts w:hint="eastAsia" w:eastAsia="仿宋_GB2312"/>
          <w:color w:val="auto"/>
          <w:sz w:val="32"/>
          <w:szCs w:val="32"/>
        </w:rPr>
        <w:t>，必要时，可启动</w:t>
      </w:r>
      <w:r>
        <w:rPr>
          <w:rFonts w:eastAsia="仿宋_GB2312"/>
          <w:color w:val="auto"/>
          <w:sz w:val="32"/>
          <w:szCs w:val="32"/>
        </w:rPr>
        <w:t>再次论证审核。</w:t>
      </w:r>
    </w:p>
    <w:p>
      <w:pPr>
        <w:spacing w:line="600" w:lineRule="exact"/>
        <w:ind w:firstLine="640"/>
        <w:rPr>
          <w:rFonts w:eastAsia="仿宋_GB2312"/>
          <w:color w:val="auto"/>
          <w:sz w:val="32"/>
        </w:rPr>
      </w:pPr>
      <w:r>
        <w:rPr>
          <w:rFonts w:eastAsia="仿宋_GB2312"/>
          <w:color w:val="auto"/>
          <w:sz w:val="32"/>
        </w:rPr>
        <w:t>第</w:t>
      </w:r>
      <w:r>
        <w:rPr>
          <w:rFonts w:hint="eastAsia" w:eastAsia="仿宋_GB2312"/>
          <w:color w:val="auto"/>
          <w:sz w:val="32"/>
        </w:rPr>
        <w:t>十九</w:t>
      </w:r>
      <w:r>
        <w:rPr>
          <w:rFonts w:eastAsia="仿宋_GB2312"/>
          <w:color w:val="auto"/>
          <w:sz w:val="32"/>
        </w:rPr>
        <w:t>条</w:t>
      </w:r>
      <w:r>
        <w:rPr>
          <w:rFonts w:hint="eastAsia" w:eastAsia="仿宋_GB2312"/>
          <w:color w:val="auto"/>
          <w:sz w:val="32"/>
        </w:rPr>
        <w:t xml:space="preserve"> </w:t>
      </w:r>
      <w:r>
        <w:rPr>
          <w:rFonts w:eastAsia="仿宋_GB2312"/>
          <w:color w:val="auto"/>
          <w:sz w:val="32"/>
        </w:rPr>
        <w:t>经省医疗保障局审核作为基本医疗服务价格项目和市场调节价项目保留的，由省医疗保障局发文公布，并按规定报国家医疗保障局。</w:t>
      </w:r>
    </w:p>
    <w:p>
      <w:pPr>
        <w:spacing w:line="600" w:lineRule="exact"/>
        <w:ind w:firstLine="640"/>
        <w:rPr>
          <w:rFonts w:eastAsia="仿宋_GB2312"/>
          <w:color w:val="auto"/>
          <w:sz w:val="32"/>
        </w:rPr>
      </w:pPr>
      <w:r>
        <w:rPr>
          <w:rFonts w:eastAsia="仿宋_GB2312"/>
          <w:color w:val="auto"/>
          <w:sz w:val="32"/>
        </w:rPr>
        <w:t xml:space="preserve">经审核不予保留的项目，试行期满后废止。 </w:t>
      </w:r>
    </w:p>
    <w:p>
      <w:pPr>
        <w:spacing w:line="600" w:lineRule="exact"/>
        <w:ind w:firstLine="640"/>
        <w:rPr>
          <w:rFonts w:eastAsia="仿宋_GB2312"/>
          <w:color w:val="auto"/>
          <w:sz w:val="32"/>
        </w:rPr>
      </w:pPr>
      <w:r>
        <w:rPr>
          <w:rFonts w:eastAsia="仿宋_GB2312"/>
          <w:color w:val="auto"/>
          <w:sz w:val="32"/>
        </w:rPr>
        <w:t>第二十条 省医疗保障局需在新增医疗服务价格项目试行期满前6个月完成基本医疗服务价格项目的审核公布。</w:t>
      </w:r>
    </w:p>
    <w:p>
      <w:pPr>
        <w:spacing w:line="600" w:lineRule="exact"/>
        <w:ind w:firstLine="640"/>
        <w:rPr>
          <w:rFonts w:eastAsia="仿宋_GB2312"/>
          <w:color w:val="auto"/>
          <w:sz w:val="32"/>
        </w:rPr>
      </w:pPr>
      <w:r>
        <w:rPr>
          <w:rFonts w:eastAsia="仿宋_GB2312"/>
          <w:color w:val="auto"/>
          <w:sz w:val="32"/>
        </w:rPr>
        <w:t>第二十</w:t>
      </w:r>
      <w:r>
        <w:rPr>
          <w:rFonts w:hint="eastAsia" w:eastAsia="仿宋_GB2312"/>
          <w:color w:val="auto"/>
          <w:sz w:val="32"/>
        </w:rPr>
        <w:t>一</w:t>
      </w:r>
      <w:r>
        <w:rPr>
          <w:rFonts w:eastAsia="仿宋_GB2312"/>
          <w:color w:val="auto"/>
          <w:sz w:val="32"/>
        </w:rPr>
        <w:t xml:space="preserve">条 </w:t>
      </w:r>
      <w:r>
        <w:rPr>
          <w:rFonts w:hint="eastAsia" w:ascii="仿宋_GB2312" w:eastAsia="仿宋_GB2312"/>
          <w:color w:val="auto"/>
          <w:sz w:val="32"/>
          <w:szCs w:val="32"/>
        </w:rPr>
        <w:t>各地医疗机构根据临床实际需求，</w:t>
      </w:r>
      <w:r>
        <w:rPr>
          <w:rFonts w:eastAsia="仿宋_GB2312"/>
          <w:color w:val="auto"/>
          <w:sz w:val="32"/>
        </w:rPr>
        <w:t>应在基本医疗服务价格项目公布之日起15个工作日内，向所在地级以上市医疗保障局申请制定价格。</w:t>
      </w:r>
    </w:p>
    <w:p>
      <w:pPr>
        <w:spacing w:line="600" w:lineRule="exact"/>
        <w:ind w:firstLine="640"/>
        <w:rPr>
          <w:rFonts w:eastAsia="仿宋_GB2312"/>
          <w:color w:val="auto"/>
          <w:sz w:val="32"/>
        </w:rPr>
      </w:pPr>
      <w:r>
        <w:rPr>
          <w:rFonts w:eastAsia="仿宋_GB2312"/>
          <w:color w:val="auto"/>
          <w:sz w:val="32"/>
        </w:rPr>
        <w:t>第二十</w:t>
      </w:r>
      <w:r>
        <w:rPr>
          <w:rFonts w:hint="eastAsia" w:eastAsia="仿宋_GB2312"/>
          <w:color w:val="auto"/>
          <w:sz w:val="32"/>
          <w:lang w:eastAsia="zh-CN"/>
        </w:rPr>
        <w:t>二</w:t>
      </w:r>
      <w:r>
        <w:rPr>
          <w:rFonts w:eastAsia="仿宋_GB2312"/>
          <w:color w:val="auto"/>
          <w:sz w:val="32"/>
        </w:rPr>
        <w:t>条 各地级以上市医疗保障局</w:t>
      </w:r>
      <w:r>
        <w:rPr>
          <w:rFonts w:hint="eastAsia" w:eastAsia="仿宋_GB2312"/>
          <w:color w:val="auto"/>
          <w:sz w:val="32"/>
          <w:lang w:eastAsia="zh-CN"/>
        </w:rPr>
        <w:t>结合医疗机构申请，</w:t>
      </w:r>
      <w:r>
        <w:rPr>
          <w:rFonts w:eastAsia="仿宋_GB2312"/>
          <w:color w:val="auto"/>
          <w:sz w:val="32"/>
        </w:rPr>
        <w:t>按照《广东省定价目录》规定的权限，在省医疗保障局公布基本医疗服务价格项目之日起</w:t>
      </w:r>
      <w:r>
        <w:rPr>
          <w:rFonts w:hint="eastAsia" w:eastAsia="仿宋_GB2312"/>
          <w:color w:val="auto"/>
          <w:sz w:val="32"/>
        </w:rPr>
        <w:t>6</w:t>
      </w:r>
      <w:r>
        <w:rPr>
          <w:rFonts w:eastAsia="仿宋_GB2312"/>
          <w:color w:val="auto"/>
          <w:sz w:val="32"/>
        </w:rPr>
        <w:t>个月内，经履行成本监审等程序后，制定基本医疗服务价格项目价格。</w:t>
      </w:r>
    </w:p>
    <w:p>
      <w:pPr>
        <w:spacing w:line="600" w:lineRule="exact"/>
        <w:ind w:firstLine="640"/>
        <w:rPr>
          <w:rFonts w:eastAsia="仿宋_GB2312"/>
          <w:color w:val="auto"/>
          <w:sz w:val="32"/>
        </w:rPr>
      </w:pPr>
      <w:r>
        <w:rPr>
          <w:rFonts w:eastAsia="仿宋_GB2312"/>
          <w:color w:val="auto"/>
          <w:sz w:val="32"/>
        </w:rPr>
        <w:t>第二十</w:t>
      </w:r>
      <w:r>
        <w:rPr>
          <w:rFonts w:hint="eastAsia" w:eastAsia="仿宋_GB2312"/>
          <w:color w:val="auto"/>
          <w:sz w:val="32"/>
          <w:lang w:eastAsia="zh-CN"/>
        </w:rPr>
        <w:t>三</w:t>
      </w:r>
      <w:r>
        <w:rPr>
          <w:rFonts w:eastAsia="仿宋_GB2312"/>
          <w:color w:val="auto"/>
          <w:sz w:val="32"/>
        </w:rPr>
        <w:t>条</w:t>
      </w:r>
      <w:r>
        <w:rPr>
          <w:rFonts w:hint="eastAsia" w:eastAsia="仿宋_GB2312"/>
          <w:color w:val="auto"/>
          <w:sz w:val="32"/>
        </w:rPr>
        <w:t xml:space="preserve"> </w:t>
      </w:r>
      <w:r>
        <w:rPr>
          <w:rFonts w:eastAsia="仿宋_GB2312"/>
          <w:color w:val="auto"/>
          <w:sz w:val="32"/>
        </w:rPr>
        <w:t>新增医疗服务价格项目转归为基本医疗服务价格项目的，项目价格自各地级以上市医疗保障局公布之日起在该行政区域内实施。</w:t>
      </w:r>
    </w:p>
    <w:p>
      <w:pPr>
        <w:spacing w:line="600" w:lineRule="exact"/>
        <w:ind w:firstLine="640"/>
        <w:rPr>
          <w:rFonts w:ascii="仿宋" w:hAnsi="仿宋" w:eastAsia="仿宋" w:cs="仿宋"/>
          <w:color w:val="auto"/>
          <w:sz w:val="32"/>
        </w:rPr>
      </w:pPr>
    </w:p>
    <w:p>
      <w:pPr>
        <w:numPr>
          <w:ilvl w:val="255"/>
          <w:numId w:val="0"/>
        </w:numPr>
        <w:spacing w:line="600" w:lineRule="exact"/>
        <w:jc w:val="center"/>
        <w:rPr>
          <w:rFonts w:ascii="黑体" w:hAnsi="黑体" w:eastAsia="黑体" w:cs="黑体"/>
          <w:color w:val="auto"/>
          <w:sz w:val="32"/>
        </w:rPr>
      </w:pPr>
      <w:r>
        <w:rPr>
          <w:rFonts w:hint="eastAsia" w:ascii="黑体" w:hAnsi="黑体" w:eastAsia="黑体" w:cs="黑体"/>
          <w:color w:val="auto"/>
          <w:sz w:val="32"/>
        </w:rPr>
        <w:t>第六章  其他</w:t>
      </w:r>
    </w:p>
    <w:p>
      <w:pPr>
        <w:numPr>
          <w:ilvl w:val="255"/>
          <w:numId w:val="0"/>
        </w:numPr>
        <w:spacing w:line="600" w:lineRule="exact"/>
        <w:rPr>
          <w:rFonts w:ascii="黑体" w:hAnsi="黑体" w:eastAsia="黑体" w:cs="黑体"/>
          <w:color w:val="auto"/>
          <w:sz w:val="32"/>
        </w:rPr>
      </w:pPr>
    </w:p>
    <w:p>
      <w:pPr>
        <w:spacing w:line="600" w:lineRule="exact"/>
        <w:ind w:firstLine="640"/>
        <w:rPr>
          <w:rFonts w:eastAsia="仿宋_GB2312"/>
          <w:color w:val="auto"/>
          <w:sz w:val="32"/>
        </w:rPr>
      </w:pPr>
      <w:r>
        <w:rPr>
          <w:rFonts w:eastAsia="仿宋_GB2312"/>
          <w:color w:val="auto"/>
          <w:sz w:val="32"/>
        </w:rPr>
        <w:t>第二十</w:t>
      </w:r>
      <w:r>
        <w:rPr>
          <w:rFonts w:hint="eastAsia" w:eastAsia="仿宋_GB2312"/>
          <w:color w:val="auto"/>
          <w:sz w:val="32"/>
          <w:lang w:eastAsia="zh-CN"/>
        </w:rPr>
        <w:t>四</w:t>
      </w:r>
      <w:r>
        <w:rPr>
          <w:rFonts w:eastAsia="仿宋_GB2312"/>
          <w:color w:val="auto"/>
          <w:sz w:val="32"/>
        </w:rPr>
        <w:t>条 广州、深圳新增医疗服务价格项目的受理、审核及公布，由广州、深圳市医疗保障局负责</w:t>
      </w:r>
      <w:r>
        <w:rPr>
          <w:rFonts w:hint="eastAsia" w:eastAsia="仿宋_GB2312"/>
          <w:color w:val="auto"/>
          <w:sz w:val="32"/>
        </w:rPr>
        <w:t>，报省医疗保障局备案后公布</w:t>
      </w:r>
      <w:r>
        <w:rPr>
          <w:rFonts w:eastAsia="仿宋_GB2312"/>
          <w:color w:val="auto"/>
          <w:sz w:val="32"/>
        </w:rPr>
        <w:t>实施。</w:t>
      </w:r>
    </w:p>
    <w:p>
      <w:pPr>
        <w:spacing w:line="600" w:lineRule="exact"/>
        <w:ind w:firstLine="640"/>
        <w:rPr>
          <w:rFonts w:eastAsia="仿宋_GB2312"/>
          <w:color w:val="auto"/>
          <w:sz w:val="32"/>
        </w:rPr>
      </w:pPr>
      <w:r>
        <w:rPr>
          <w:rFonts w:eastAsia="仿宋_GB2312"/>
          <w:color w:val="auto"/>
          <w:sz w:val="32"/>
        </w:rPr>
        <w:t>广州、深圳新增医疗服务价格项目的转归，由省医疗保障局负责，按第五章程序执行。</w:t>
      </w:r>
    </w:p>
    <w:p>
      <w:pPr>
        <w:spacing w:line="600" w:lineRule="exact"/>
        <w:rPr>
          <w:rFonts w:eastAsia="仿宋_GB2312"/>
          <w:color w:val="auto"/>
          <w:sz w:val="32"/>
        </w:rPr>
      </w:pPr>
      <w:r>
        <w:rPr>
          <w:rFonts w:eastAsia="仿宋_GB2312"/>
          <w:color w:val="auto"/>
          <w:sz w:val="32"/>
        </w:rPr>
        <w:t xml:space="preserve">   第二十</w:t>
      </w:r>
      <w:r>
        <w:rPr>
          <w:rFonts w:hint="eastAsia" w:eastAsia="仿宋_GB2312"/>
          <w:color w:val="auto"/>
          <w:sz w:val="32"/>
          <w:lang w:eastAsia="zh-CN"/>
        </w:rPr>
        <w:t>五</w:t>
      </w:r>
      <w:r>
        <w:rPr>
          <w:rFonts w:hint="eastAsia" w:eastAsia="仿宋_GB2312"/>
          <w:color w:val="auto"/>
          <w:sz w:val="32"/>
        </w:rPr>
        <w:t xml:space="preserve">条 </w:t>
      </w:r>
      <w:r>
        <w:rPr>
          <w:rFonts w:eastAsia="仿宋_GB2312"/>
          <w:color w:val="auto"/>
          <w:sz w:val="32"/>
        </w:rPr>
        <w:t>省医疗保障局</w:t>
      </w:r>
      <w:r>
        <w:rPr>
          <w:rFonts w:hint="eastAsia" w:eastAsia="仿宋_GB2312"/>
          <w:color w:val="auto"/>
          <w:sz w:val="32"/>
        </w:rPr>
        <w:t>根据管理需要，</w:t>
      </w:r>
      <w:r>
        <w:rPr>
          <w:rFonts w:eastAsia="仿宋_GB2312"/>
          <w:color w:val="auto"/>
          <w:sz w:val="32"/>
        </w:rPr>
        <w:t>对现行全省统一医疗服务价格项目的名称、内涵、编码、除外内容、计价单位</w:t>
      </w:r>
      <w:r>
        <w:rPr>
          <w:rFonts w:hint="eastAsia" w:eastAsia="仿宋_GB2312"/>
          <w:color w:val="auto"/>
          <w:sz w:val="32"/>
        </w:rPr>
        <w:t>、说明</w:t>
      </w:r>
      <w:r>
        <w:rPr>
          <w:rFonts w:eastAsia="仿宋_GB2312"/>
          <w:color w:val="auto"/>
          <w:sz w:val="32"/>
        </w:rPr>
        <w:t>等要素</w:t>
      </w:r>
      <w:r>
        <w:rPr>
          <w:rFonts w:hint="eastAsia" w:eastAsia="仿宋_GB2312"/>
          <w:color w:val="auto"/>
          <w:sz w:val="32"/>
        </w:rPr>
        <w:t>进行</w:t>
      </w:r>
      <w:r>
        <w:rPr>
          <w:rFonts w:eastAsia="仿宋_GB2312"/>
          <w:color w:val="auto"/>
          <w:sz w:val="32"/>
        </w:rPr>
        <w:t>修订。</w:t>
      </w:r>
    </w:p>
    <w:p>
      <w:pPr>
        <w:spacing w:line="600" w:lineRule="exact"/>
        <w:rPr>
          <w:rFonts w:eastAsia="仿宋_GB2312"/>
          <w:color w:val="auto"/>
          <w:sz w:val="32"/>
        </w:rPr>
      </w:pPr>
      <w:r>
        <w:rPr>
          <w:rFonts w:eastAsia="仿宋_GB2312"/>
          <w:color w:val="auto"/>
          <w:sz w:val="32"/>
        </w:rPr>
        <w:t xml:space="preserve">   第二十</w:t>
      </w:r>
      <w:r>
        <w:rPr>
          <w:rFonts w:hint="eastAsia" w:eastAsia="仿宋_GB2312"/>
          <w:color w:val="auto"/>
          <w:sz w:val="32"/>
          <w:lang w:eastAsia="zh-CN"/>
        </w:rPr>
        <w:t>六</w:t>
      </w:r>
      <w:r>
        <w:rPr>
          <w:rFonts w:eastAsia="仿宋_GB2312"/>
          <w:color w:val="auto"/>
          <w:sz w:val="32"/>
        </w:rPr>
        <w:t>条 省医疗保障局新增医疗服务价格项目专家论证和卫生经济学评估具体规定另行制定。</w:t>
      </w:r>
    </w:p>
    <w:p>
      <w:pPr>
        <w:spacing w:line="600" w:lineRule="exact"/>
        <w:rPr>
          <w:rFonts w:eastAsia="仿宋_GB2312"/>
          <w:color w:val="auto"/>
          <w:sz w:val="32"/>
        </w:rPr>
      </w:pPr>
      <w:r>
        <w:rPr>
          <w:rFonts w:eastAsia="仿宋_GB2312"/>
          <w:color w:val="auto"/>
          <w:sz w:val="32"/>
        </w:rPr>
        <w:t xml:space="preserve">   第二十</w:t>
      </w:r>
      <w:r>
        <w:rPr>
          <w:rFonts w:hint="eastAsia" w:eastAsia="仿宋_GB2312"/>
          <w:color w:val="auto"/>
          <w:sz w:val="32"/>
          <w:lang w:eastAsia="zh-CN"/>
        </w:rPr>
        <w:t>七</w:t>
      </w:r>
      <w:r>
        <w:rPr>
          <w:rFonts w:eastAsia="仿宋_GB2312"/>
          <w:color w:val="auto"/>
          <w:sz w:val="32"/>
        </w:rPr>
        <w:t>条 本办法由省医疗保障局负责解释。</w:t>
      </w:r>
    </w:p>
    <w:p>
      <w:pPr>
        <w:spacing w:line="600" w:lineRule="exact"/>
        <w:rPr>
          <w:rFonts w:eastAsia="仿宋_GB2312"/>
          <w:color w:val="auto"/>
          <w:sz w:val="32"/>
        </w:rPr>
      </w:pPr>
      <w:r>
        <w:rPr>
          <w:rFonts w:eastAsia="仿宋_GB2312"/>
          <w:color w:val="auto"/>
          <w:sz w:val="32"/>
        </w:rPr>
        <w:t xml:space="preserve">   第二十</w:t>
      </w:r>
      <w:r>
        <w:rPr>
          <w:rFonts w:hint="eastAsia" w:eastAsia="仿宋_GB2312"/>
          <w:color w:val="auto"/>
          <w:sz w:val="32"/>
          <w:lang w:eastAsia="zh-CN"/>
        </w:rPr>
        <w:t>八</w:t>
      </w:r>
      <w:r>
        <w:rPr>
          <w:rFonts w:eastAsia="仿宋_GB2312"/>
          <w:color w:val="auto"/>
          <w:sz w:val="32"/>
        </w:rPr>
        <w:t>条 本办法</w:t>
      </w:r>
      <w:r>
        <w:rPr>
          <w:rFonts w:hint="eastAsia" w:eastAsia="仿宋_GB2312"/>
          <w:color w:val="auto"/>
          <w:sz w:val="32"/>
        </w:rPr>
        <w:t>自发布之日起实施</w:t>
      </w:r>
      <w:r>
        <w:rPr>
          <w:rFonts w:eastAsia="仿宋_GB2312"/>
          <w:color w:val="auto"/>
          <w:sz w:val="32"/>
        </w:rPr>
        <w:t>，有效期3年。此前相关规定与本办法相抵触的，以本办法为准。</w:t>
      </w:r>
    </w:p>
    <w:p>
      <w:pPr>
        <w:spacing w:line="600" w:lineRule="exact"/>
        <w:rPr>
          <w:rFonts w:eastAsia="仿宋_GB2312"/>
          <w:color w:val="auto"/>
          <w:sz w:val="32"/>
        </w:rPr>
      </w:pPr>
    </w:p>
    <w:p>
      <w:pPr>
        <w:spacing w:line="600" w:lineRule="exact"/>
        <w:ind w:firstLine="640"/>
        <w:rPr>
          <w:rFonts w:eastAsia="仿宋_GB2312"/>
          <w:color w:val="auto"/>
          <w:sz w:val="32"/>
        </w:rPr>
      </w:pPr>
      <w:r>
        <w:rPr>
          <w:rFonts w:eastAsia="仿宋_GB2312"/>
          <w:color w:val="auto"/>
          <w:sz w:val="32"/>
        </w:rPr>
        <w:t>附件：</w:t>
      </w:r>
    </w:p>
    <w:p>
      <w:pPr>
        <w:spacing w:line="600" w:lineRule="exact"/>
        <w:ind w:firstLine="1280"/>
        <w:rPr>
          <w:rFonts w:eastAsia="仿宋_GB2312"/>
          <w:color w:val="auto"/>
          <w:sz w:val="32"/>
        </w:rPr>
      </w:pPr>
      <w:r>
        <w:rPr>
          <w:rFonts w:eastAsia="仿宋_GB2312"/>
          <w:color w:val="auto"/>
          <w:sz w:val="32"/>
        </w:rPr>
        <w:t xml:space="preserve">1.广东省新增医疗服务价格项目申报表         </w:t>
      </w:r>
    </w:p>
    <w:p>
      <w:pPr>
        <w:spacing w:line="600" w:lineRule="exact"/>
        <w:rPr>
          <w:rFonts w:eastAsia="仿宋_GB2312"/>
          <w:color w:val="auto"/>
          <w:sz w:val="32"/>
        </w:rPr>
      </w:pPr>
      <w:r>
        <w:rPr>
          <w:rFonts w:eastAsia="仿宋_GB2312"/>
          <w:color w:val="auto"/>
          <w:sz w:val="32"/>
        </w:rPr>
        <w:t xml:space="preserve">        2.广东省医疗服务价格项目成本测算表</w:t>
      </w:r>
    </w:p>
    <w:p>
      <w:pPr>
        <w:spacing w:line="600" w:lineRule="exact"/>
        <w:rPr>
          <w:rFonts w:eastAsia="仿宋_GB2312"/>
          <w:color w:val="auto"/>
          <w:sz w:val="32"/>
        </w:rPr>
      </w:pPr>
      <w:r>
        <w:rPr>
          <w:rFonts w:eastAsia="仿宋_GB2312"/>
          <w:color w:val="auto"/>
          <w:sz w:val="32"/>
        </w:rPr>
        <w:t xml:space="preserve">        3.新增医疗服务价格项目转归申请表</w:t>
      </w:r>
    </w:p>
    <w:p>
      <w:pPr>
        <w:rPr>
          <w:rFonts w:ascii="仿宋" w:hAnsi="仿宋" w:eastAsia="仿宋" w:cs="仿宋"/>
          <w:color w:val="auto"/>
          <w:sz w:val="32"/>
        </w:rPr>
      </w:pPr>
      <w:r>
        <w:rPr>
          <w:rFonts w:ascii="仿宋" w:hAnsi="仿宋" w:eastAsia="仿宋" w:cs="仿宋"/>
          <w:color w:val="auto"/>
          <w:sz w:val="32"/>
        </w:rPr>
        <w:br w:type="page"/>
      </w:r>
    </w:p>
    <w:p>
      <w:pPr>
        <w:spacing w:line="600" w:lineRule="auto"/>
        <w:rPr>
          <w:rFonts w:eastAsia="黑体"/>
          <w:color w:val="auto"/>
          <w:sz w:val="32"/>
        </w:rPr>
      </w:pPr>
      <w:r>
        <w:rPr>
          <w:rFonts w:eastAsia="黑体"/>
          <w:color w:val="auto"/>
          <w:sz w:val="32"/>
        </w:rPr>
        <w:t>附件1</w:t>
      </w:r>
    </w:p>
    <w:p>
      <w:pPr>
        <w:spacing w:line="600" w:lineRule="auto"/>
        <w:jc w:val="center"/>
        <w:rPr>
          <w:rFonts w:ascii="楷体" w:hAnsi="楷体" w:eastAsia="楷体" w:cs="楷体"/>
          <w:b/>
          <w:bCs/>
          <w:color w:val="auto"/>
          <w:sz w:val="44"/>
          <w:szCs w:val="44"/>
        </w:rPr>
      </w:pPr>
      <w:r>
        <w:rPr>
          <w:rFonts w:ascii="楷体" w:hAnsi="楷体" w:eastAsia="楷体" w:cs="楷体"/>
          <w:b/>
          <w:bCs/>
          <w:color w:val="auto"/>
          <w:sz w:val="44"/>
          <w:szCs w:val="44"/>
        </w:rPr>
        <w:t>广东省新增医疗服务价格项目申报表</w:t>
      </w:r>
    </w:p>
    <w:p>
      <w:pPr>
        <w:spacing w:line="600" w:lineRule="auto"/>
        <w:rPr>
          <w:rFonts w:eastAsia="Times New Roman"/>
          <w:color w:val="auto"/>
          <w:sz w:val="24"/>
        </w:rPr>
      </w:pPr>
      <w:r>
        <w:rPr>
          <w:rFonts w:eastAsia="Times New Roman"/>
          <w:color w:val="auto"/>
          <w:sz w:val="30"/>
        </w:rPr>
        <w:t xml:space="preserve"> </w:t>
      </w:r>
      <w:r>
        <w:rPr>
          <w:rFonts w:ascii="楷体" w:hAnsi="楷体" w:eastAsia="楷体" w:cs="楷体"/>
          <w:color w:val="auto"/>
          <w:sz w:val="24"/>
        </w:rPr>
        <w:t>申报单位（医疗机构公章）：</w:t>
      </w:r>
      <w:r>
        <w:rPr>
          <w:rFonts w:eastAsia="Times New Roman"/>
          <w:color w:val="auto"/>
          <w:sz w:val="24"/>
        </w:rPr>
        <w:t xml:space="preserve">     </w:t>
      </w:r>
      <w:r>
        <w:rPr>
          <w:rFonts w:hint="eastAsia"/>
          <w:color w:val="auto"/>
          <w:sz w:val="24"/>
        </w:rPr>
        <w:t xml:space="preserve">   </w:t>
      </w:r>
      <w:r>
        <w:rPr>
          <w:rFonts w:ascii="楷体" w:hAnsi="楷体" w:eastAsia="楷体" w:cs="楷体"/>
          <w:color w:val="auto"/>
          <w:sz w:val="24"/>
        </w:rPr>
        <w:t>申报日期：</w:t>
      </w:r>
      <w:r>
        <w:rPr>
          <w:rFonts w:eastAsia="Times New Roman"/>
          <w:color w:val="auto"/>
          <w:sz w:val="24"/>
        </w:rPr>
        <w:t xml:space="preserve">      </w:t>
      </w:r>
    </w:p>
    <w:tbl>
      <w:tblPr>
        <w:tblStyle w:val="11"/>
        <w:tblW w:w="8947" w:type="dxa"/>
        <w:jc w:val="center"/>
        <w:tblInd w:w="0" w:type="dxa"/>
        <w:tblLayout w:type="fixed"/>
        <w:tblCellMar>
          <w:top w:w="0" w:type="dxa"/>
          <w:left w:w="10" w:type="dxa"/>
          <w:bottom w:w="0" w:type="dxa"/>
          <w:right w:w="10" w:type="dxa"/>
        </w:tblCellMar>
      </w:tblPr>
      <w:tblGrid>
        <w:gridCol w:w="1738"/>
        <w:gridCol w:w="1486"/>
        <w:gridCol w:w="1248"/>
        <w:gridCol w:w="1491"/>
        <w:gridCol w:w="1526"/>
        <w:gridCol w:w="1458"/>
      </w:tblGrid>
      <w:tr>
        <w:tblPrEx>
          <w:tblLayout w:type="fixed"/>
          <w:tblCellMar>
            <w:top w:w="0" w:type="dxa"/>
            <w:left w:w="10" w:type="dxa"/>
            <w:bottom w:w="0" w:type="dxa"/>
            <w:right w:w="10" w:type="dxa"/>
          </w:tblCellMar>
        </w:tblPrEx>
        <w:trPr>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color w:val="auto"/>
              </w:rPr>
            </w:pPr>
            <w:r>
              <w:rPr>
                <w:rFonts w:ascii="宋体" w:hAnsi="宋体" w:cs="宋体"/>
                <w:color w:val="auto"/>
                <w:sz w:val="24"/>
              </w:rPr>
              <w:t>类</w:t>
            </w:r>
            <w:r>
              <w:rPr>
                <w:rFonts w:eastAsia="Times New Roman"/>
                <w:color w:val="auto"/>
                <w:sz w:val="24"/>
              </w:rPr>
              <w:t xml:space="preserve">   </w:t>
            </w:r>
            <w:r>
              <w:rPr>
                <w:rFonts w:ascii="宋体" w:hAnsi="宋体" w:cs="宋体"/>
                <w:color w:val="auto"/>
                <w:sz w:val="24"/>
              </w:rPr>
              <w:t>别</w:t>
            </w:r>
          </w:p>
        </w:tc>
        <w:tc>
          <w:tcPr>
            <w:tcW w:w="720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rPr>
                <w:rFonts w:eastAsia="Times New Roman"/>
                <w:color w:val="auto"/>
                <w:sz w:val="24"/>
              </w:rPr>
            </w:pPr>
            <w:r>
              <w:rPr>
                <w:rFonts w:ascii="宋体" w:hAnsi="宋体" w:cs="宋体"/>
                <w:color w:val="auto"/>
                <w:sz w:val="24"/>
              </w:rPr>
              <w:t>一、综合医疗服务类</w:t>
            </w:r>
            <w:r>
              <w:rPr>
                <w:rFonts w:eastAsia="Times New Roman"/>
                <w:color w:val="auto"/>
                <w:sz w:val="24"/>
              </w:rPr>
              <w:t xml:space="preserve">  </w:t>
            </w:r>
            <w:r>
              <w:rPr>
                <w:rFonts w:ascii="宋体" w:hAnsi="宋体" w:cs="宋体"/>
                <w:color w:val="auto"/>
                <w:sz w:val="24"/>
              </w:rPr>
              <w:t>□</w:t>
            </w:r>
            <w:r>
              <w:rPr>
                <w:rFonts w:eastAsia="Times New Roman"/>
                <w:color w:val="auto"/>
                <w:sz w:val="24"/>
              </w:rPr>
              <w:t xml:space="preserve">  </w:t>
            </w:r>
            <w:r>
              <w:rPr>
                <w:rFonts w:ascii="宋体" w:hAnsi="宋体" w:cs="宋体"/>
                <w:color w:val="auto"/>
                <w:sz w:val="24"/>
              </w:rPr>
              <w:t>二、医技诊疗类</w:t>
            </w:r>
            <w:r>
              <w:rPr>
                <w:rFonts w:eastAsia="Times New Roman"/>
                <w:color w:val="auto"/>
                <w:sz w:val="24"/>
              </w:rPr>
              <w:t xml:space="preserve">         </w:t>
            </w:r>
            <w:r>
              <w:rPr>
                <w:rFonts w:ascii="宋体" w:hAnsi="宋体" w:cs="宋体"/>
                <w:color w:val="auto"/>
                <w:sz w:val="24"/>
              </w:rPr>
              <w:t>□</w:t>
            </w:r>
          </w:p>
          <w:p>
            <w:pPr>
              <w:spacing w:line="480" w:lineRule="auto"/>
              <w:rPr>
                <w:color w:val="auto"/>
              </w:rPr>
            </w:pPr>
            <w:r>
              <w:rPr>
                <w:rFonts w:ascii="宋体" w:hAnsi="宋体" w:cs="宋体"/>
                <w:color w:val="auto"/>
                <w:sz w:val="24"/>
              </w:rPr>
              <w:t>三、临床诊疗类</w:t>
            </w:r>
            <w:r>
              <w:rPr>
                <w:rFonts w:eastAsia="Times New Roman"/>
                <w:color w:val="auto"/>
                <w:sz w:val="24"/>
              </w:rPr>
              <w:t xml:space="preserve">      </w:t>
            </w:r>
            <w:r>
              <w:rPr>
                <w:rFonts w:ascii="宋体" w:hAnsi="宋体" w:cs="宋体"/>
                <w:color w:val="auto"/>
                <w:sz w:val="24"/>
              </w:rPr>
              <w:t>□</w:t>
            </w:r>
            <w:r>
              <w:rPr>
                <w:rFonts w:eastAsia="Times New Roman"/>
                <w:color w:val="auto"/>
                <w:sz w:val="24"/>
              </w:rPr>
              <w:t xml:space="preserve">  </w:t>
            </w:r>
            <w:r>
              <w:rPr>
                <w:rFonts w:ascii="宋体" w:hAnsi="宋体" w:cs="宋体"/>
                <w:color w:val="auto"/>
                <w:sz w:val="24"/>
              </w:rPr>
              <w:t>四、中医及民族医诊疗类</w:t>
            </w:r>
            <w:r>
              <w:rPr>
                <w:rFonts w:eastAsia="Times New Roman"/>
                <w:color w:val="auto"/>
                <w:sz w:val="24"/>
              </w:rPr>
              <w:t xml:space="preserve"> </w:t>
            </w:r>
            <w:r>
              <w:rPr>
                <w:rFonts w:ascii="宋体" w:hAnsi="宋体" w:cs="宋体"/>
                <w:color w:val="auto"/>
                <w:sz w:val="24"/>
              </w:rPr>
              <w:t>□</w:t>
            </w:r>
          </w:p>
        </w:tc>
      </w:tr>
      <w:tr>
        <w:tblPrEx>
          <w:tblLayout w:type="fixed"/>
          <w:tblCellMar>
            <w:top w:w="0" w:type="dxa"/>
            <w:left w:w="10" w:type="dxa"/>
            <w:bottom w:w="0" w:type="dxa"/>
            <w:right w:w="10" w:type="dxa"/>
          </w:tblCellMar>
        </w:tblPrEx>
        <w:trPr>
          <w:trHeight w:val="542"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rPr>
            </w:pPr>
            <w:r>
              <w:rPr>
                <w:rFonts w:ascii="宋体" w:hAnsi="宋体" w:cs="宋体"/>
                <w:color w:val="auto"/>
                <w:sz w:val="24"/>
              </w:rPr>
              <w:t>项目编码</w:t>
            </w:r>
          </w:p>
        </w:tc>
        <w:tc>
          <w:tcPr>
            <w:tcW w:w="273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c>
          <w:tcPr>
            <w:tcW w:w="14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rPr>
            </w:pPr>
            <w:r>
              <w:rPr>
                <w:rFonts w:ascii="宋体" w:hAnsi="宋体" w:cs="宋体"/>
                <w:color w:val="auto"/>
                <w:sz w:val="24"/>
              </w:rPr>
              <w:t>项目名称</w:t>
            </w:r>
          </w:p>
        </w:tc>
        <w:tc>
          <w:tcPr>
            <w:tcW w:w="29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r>
      <w:tr>
        <w:tblPrEx>
          <w:tblLayout w:type="fixed"/>
          <w:tblCellMar>
            <w:top w:w="0" w:type="dxa"/>
            <w:left w:w="10" w:type="dxa"/>
            <w:bottom w:w="0" w:type="dxa"/>
            <w:right w:w="10" w:type="dxa"/>
          </w:tblCellMar>
        </w:tblPrEx>
        <w:trPr>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rPr>
            </w:pPr>
            <w:r>
              <w:rPr>
                <w:rFonts w:ascii="宋体" w:hAnsi="宋体" w:cs="宋体"/>
                <w:color w:val="auto"/>
                <w:sz w:val="24"/>
              </w:rPr>
              <w:t>项目内涵</w:t>
            </w:r>
          </w:p>
        </w:tc>
        <w:tc>
          <w:tcPr>
            <w:tcW w:w="273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c>
          <w:tcPr>
            <w:tcW w:w="14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rPr>
            </w:pPr>
            <w:r>
              <w:rPr>
                <w:rFonts w:ascii="宋体" w:hAnsi="宋体" w:cs="宋体"/>
                <w:color w:val="auto"/>
                <w:sz w:val="24"/>
              </w:rPr>
              <w:t>除外内容</w:t>
            </w:r>
          </w:p>
        </w:tc>
        <w:tc>
          <w:tcPr>
            <w:tcW w:w="29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r>
      <w:tr>
        <w:tblPrEx>
          <w:tblLayout w:type="fixed"/>
          <w:tblCellMar>
            <w:top w:w="0" w:type="dxa"/>
            <w:left w:w="10" w:type="dxa"/>
            <w:bottom w:w="0" w:type="dxa"/>
            <w:right w:w="10" w:type="dxa"/>
          </w:tblCellMar>
        </w:tblPrEx>
        <w:trPr>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rPr>
            </w:pPr>
            <w:r>
              <w:rPr>
                <w:rFonts w:ascii="宋体" w:hAnsi="宋体" w:cs="宋体"/>
                <w:color w:val="auto"/>
                <w:sz w:val="24"/>
              </w:rPr>
              <w:t>计价单位</w:t>
            </w:r>
          </w:p>
        </w:tc>
        <w:tc>
          <w:tcPr>
            <w:tcW w:w="14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c>
          <w:tcPr>
            <w:tcW w:w="1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color w:val="auto"/>
              </w:rPr>
            </w:pPr>
            <w:r>
              <w:rPr>
                <w:rFonts w:ascii="宋体" w:hAnsi="宋体" w:cs="宋体"/>
                <w:color w:val="auto"/>
                <w:sz w:val="24"/>
              </w:rPr>
              <w:t>说</w:t>
            </w:r>
            <w:r>
              <w:rPr>
                <w:rFonts w:eastAsia="Times New Roman"/>
                <w:color w:val="auto"/>
                <w:sz w:val="24"/>
              </w:rPr>
              <w:t xml:space="preserve">  </w:t>
            </w:r>
            <w:r>
              <w:rPr>
                <w:rFonts w:ascii="宋体" w:hAnsi="宋体" w:cs="宋体"/>
                <w:color w:val="auto"/>
                <w:sz w:val="24"/>
              </w:rPr>
              <w:t>明</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c>
          <w:tcPr>
            <w:tcW w:w="15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rPr>
            </w:pPr>
            <w:r>
              <w:rPr>
                <w:rFonts w:hint="eastAsia" w:ascii="宋体" w:hAnsi="宋体" w:cs="宋体"/>
                <w:color w:val="auto"/>
                <w:sz w:val="24"/>
              </w:rPr>
              <w:t>拟定</w:t>
            </w:r>
            <w:r>
              <w:rPr>
                <w:rFonts w:ascii="宋体" w:hAnsi="宋体" w:cs="宋体"/>
                <w:color w:val="auto"/>
                <w:sz w:val="24"/>
              </w:rPr>
              <w:t>价格</w:t>
            </w:r>
          </w:p>
        </w:tc>
        <w:tc>
          <w:tcPr>
            <w:tcW w:w="1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rPr>
                <w:rFonts w:ascii="宋体" w:hAnsi="宋体" w:cs="宋体"/>
                <w:color w:val="auto"/>
                <w:sz w:val="22"/>
              </w:rPr>
            </w:pPr>
          </w:p>
        </w:tc>
      </w:tr>
      <w:tr>
        <w:tblPrEx>
          <w:tblLayout w:type="fixed"/>
          <w:tblCellMar>
            <w:top w:w="0" w:type="dxa"/>
            <w:left w:w="10" w:type="dxa"/>
            <w:bottom w:w="0" w:type="dxa"/>
            <w:right w:w="10" w:type="dxa"/>
          </w:tblCellMar>
        </w:tblPrEx>
        <w:trPr>
          <w:jc w:val="center"/>
        </w:trPr>
        <w:tc>
          <w:tcPr>
            <w:tcW w:w="322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 w:val="22"/>
              </w:rPr>
            </w:pPr>
            <w:r>
              <w:rPr>
                <w:rFonts w:hint="eastAsia" w:ascii="宋体" w:hAnsi="宋体" w:cs="宋体"/>
                <w:color w:val="auto"/>
                <w:sz w:val="22"/>
              </w:rPr>
              <w:t>是否属卫生行政部门规定的禁止应用于临床的医疗技术</w:t>
            </w:r>
          </w:p>
        </w:tc>
        <w:tc>
          <w:tcPr>
            <w:tcW w:w="12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 w:val="24"/>
              </w:rPr>
            </w:pPr>
            <w:r>
              <w:rPr>
                <w:rFonts w:hint="eastAsia" w:ascii="宋体" w:hAnsi="宋体" w:cs="宋体"/>
                <w:color w:val="auto"/>
                <w:sz w:val="24"/>
              </w:rPr>
              <w:t>是/否</w:t>
            </w:r>
          </w:p>
        </w:tc>
        <w:tc>
          <w:tcPr>
            <w:tcW w:w="301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 w:val="24"/>
              </w:rPr>
            </w:pPr>
            <w:r>
              <w:rPr>
                <w:rFonts w:hint="eastAsia" w:ascii="宋体" w:hAnsi="宋体" w:cs="宋体"/>
                <w:color w:val="auto"/>
                <w:sz w:val="22"/>
              </w:rPr>
              <w:t>是否属卫生行政部门规定的需要重点管理的医疗技术</w:t>
            </w:r>
          </w:p>
        </w:tc>
        <w:tc>
          <w:tcPr>
            <w:tcW w:w="1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sz w:val="22"/>
              </w:rPr>
            </w:pPr>
            <w:r>
              <w:rPr>
                <w:rFonts w:hint="eastAsia" w:ascii="宋体" w:hAnsi="宋体" w:cs="宋体"/>
                <w:color w:val="auto"/>
                <w:sz w:val="24"/>
              </w:rPr>
              <w:t>是/否（如是，须提供卫生行政部门同意备案的证明材料）</w:t>
            </w:r>
          </w:p>
        </w:tc>
      </w:tr>
      <w:tr>
        <w:tblPrEx>
          <w:tblLayout w:type="fixed"/>
          <w:tblCellMar>
            <w:top w:w="0" w:type="dxa"/>
            <w:left w:w="10" w:type="dxa"/>
            <w:bottom w:w="0" w:type="dxa"/>
            <w:right w:w="10" w:type="dxa"/>
          </w:tblCellMar>
        </w:tblPrEx>
        <w:trPr>
          <w:trHeight w:val="888"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rPr>
            </w:pPr>
            <w:r>
              <w:rPr>
                <w:rFonts w:ascii="宋体" w:hAnsi="宋体" w:cs="宋体"/>
                <w:color w:val="auto"/>
                <w:sz w:val="24"/>
              </w:rPr>
              <w:t>项目适用范围及临床意义</w:t>
            </w:r>
          </w:p>
        </w:tc>
        <w:tc>
          <w:tcPr>
            <w:tcW w:w="720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sz w:val="22"/>
              </w:rPr>
            </w:pPr>
          </w:p>
        </w:tc>
      </w:tr>
      <w:tr>
        <w:tblPrEx>
          <w:tblLayout w:type="fixed"/>
          <w:tblCellMar>
            <w:top w:w="0" w:type="dxa"/>
            <w:left w:w="10" w:type="dxa"/>
            <w:bottom w:w="0" w:type="dxa"/>
            <w:right w:w="10" w:type="dxa"/>
          </w:tblCellMar>
        </w:tblPrEx>
        <w:trPr>
          <w:trHeight w:val="746"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rPr>
            </w:pPr>
            <w:r>
              <w:rPr>
                <w:rFonts w:ascii="宋体" w:hAnsi="宋体" w:cs="宋体"/>
                <w:color w:val="auto"/>
                <w:sz w:val="24"/>
              </w:rPr>
              <w:t>工作原理</w:t>
            </w:r>
          </w:p>
        </w:tc>
        <w:tc>
          <w:tcPr>
            <w:tcW w:w="720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sz w:val="22"/>
              </w:rPr>
            </w:pPr>
          </w:p>
        </w:tc>
      </w:tr>
      <w:tr>
        <w:tblPrEx>
          <w:tblLayout w:type="fixed"/>
          <w:tblCellMar>
            <w:top w:w="0" w:type="dxa"/>
            <w:left w:w="10" w:type="dxa"/>
            <w:bottom w:w="0" w:type="dxa"/>
            <w:right w:w="10" w:type="dxa"/>
          </w:tblCellMar>
        </w:tblPrEx>
        <w:trPr>
          <w:trHeight w:val="664"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rPr>
            </w:pPr>
            <w:r>
              <w:rPr>
                <w:rFonts w:ascii="宋体" w:hAnsi="宋体" w:cs="宋体"/>
                <w:color w:val="auto"/>
                <w:sz w:val="24"/>
              </w:rPr>
              <w:t>操作规范</w:t>
            </w:r>
          </w:p>
        </w:tc>
        <w:tc>
          <w:tcPr>
            <w:tcW w:w="720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sz w:val="22"/>
              </w:rPr>
            </w:pPr>
          </w:p>
        </w:tc>
      </w:tr>
      <w:tr>
        <w:tblPrEx>
          <w:tblLayout w:type="fixed"/>
          <w:tblCellMar>
            <w:top w:w="0" w:type="dxa"/>
            <w:left w:w="10" w:type="dxa"/>
            <w:bottom w:w="0" w:type="dxa"/>
            <w:right w:w="10" w:type="dxa"/>
          </w:tblCellMar>
        </w:tblPrEx>
        <w:trPr>
          <w:trHeight w:val="880"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color w:val="auto"/>
              </w:rPr>
            </w:pPr>
            <w:r>
              <w:rPr>
                <w:rFonts w:ascii="宋体" w:hAnsi="宋体" w:cs="宋体"/>
                <w:color w:val="auto"/>
                <w:sz w:val="24"/>
              </w:rPr>
              <w:t>质量标准</w:t>
            </w:r>
            <w:r>
              <w:rPr>
                <w:rFonts w:eastAsia="Times New Roman"/>
                <w:color w:val="auto"/>
                <w:sz w:val="24"/>
              </w:rPr>
              <w:t xml:space="preserve">    </w:t>
            </w:r>
          </w:p>
        </w:tc>
        <w:tc>
          <w:tcPr>
            <w:tcW w:w="720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rPr>
            </w:pPr>
            <w:r>
              <w:rPr>
                <w:rFonts w:ascii="宋体" w:hAnsi="宋体" w:cs="宋体"/>
                <w:color w:val="auto"/>
                <w:sz w:val="24"/>
              </w:rPr>
              <w:t>涉及器械的应写明注册证编号和产品标准编号</w:t>
            </w:r>
          </w:p>
        </w:tc>
      </w:tr>
      <w:tr>
        <w:tblPrEx>
          <w:tblLayout w:type="fixed"/>
          <w:tblCellMar>
            <w:top w:w="0" w:type="dxa"/>
            <w:left w:w="10" w:type="dxa"/>
            <w:bottom w:w="0" w:type="dxa"/>
            <w:right w:w="10" w:type="dxa"/>
          </w:tblCellMar>
        </w:tblPrEx>
        <w:trPr>
          <w:trHeight w:val="1486" w:hRule="atLeast"/>
          <w:jc w:val="center"/>
        </w:trPr>
        <w:tc>
          <w:tcPr>
            <w:tcW w:w="17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rPr>
            </w:pPr>
            <w:r>
              <w:rPr>
                <w:rFonts w:ascii="宋体" w:hAnsi="宋体" w:cs="宋体"/>
                <w:color w:val="auto"/>
                <w:sz w:val="24"/>
              </w:rPr>
              <w:t>其他要说明的情况（新增理由）</w:t>
            </w:r>
          </w:p>
        </w:tc>
        <w:tc>
          <w:tcPr>
            <w:tcW w:w="720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color w:val="auto"/>
              </w:rPr>
            </w:pPr>
            <w:r>
              <w:rPr>
                <w:rFonts w:ascii="宋体" w:hAnsi="宋体" w:cs="宋体"/>
                <w:color w:val="auto"/>
                <w:sz w:val="24"/>
              </w:rPr>
              <w:t>重点说明：与</w:t>
            </w:r>
            <w:r>
              <w:rPr>
                <w:rFonts w:hint="eastAsia" w:ascii="宋体" w:hAnsi="宋体" w:cs="宋体"/>
                <w:color w:val="auto"/>
                <w:sz w:val="24"/>
              </w:rPr>
              <w:t>同类现行</w:t>
            </w:r>
            <w:r>
              <w:rPr>
                <w:rFonts w:ascii="宋体" w:hAnsi="宋体" w:cs="宋体"/>
                <w:color w:val="auto"/>
                <w:sz w:val="24"/>
              </w:rPr>
              <w:t>医疗服务价格</w:t>
            </w:r>
            <w:r>
              <w:rPr>
                <w:rFonts w:hint="eastAsia" w:ascii="宋体" w:hAnsi="宋体" w:cs="宋体"/>
                <w:color w:val="auto"/>
                <w:sz w:val="24"/>
              </w:rPr>
              <w:t>项目</w:t>
            </w:r>
            <w:r>
              <w:rPr>
                <w:rFonts w:ascii="宋体" w:hAnsi="宋体" w:cs="宋体"/>
                <w:color w:val="auto"/>
                <w:sz w:val="24"/>
              </w:rPr>
              <w:t>的差异性，对比分析两者间的经济性、先进性和必要性。</w:t>
            </w:r>
          </w:p>
        </w:tc>
      </w:tr>
    </w:tbl>
    <w:p>
      <w:pPr>
        <w:spacing w:line="600" w:lineRule="auto"/>
        <w:rPr>
          <w:rFonts w:eastAsia="Times New Roman"/>
          <w:color w:val="auto"/>
          <w:sz w:val="44"/>
        </w:rPr>
      </w:pPr>
      <w:r>
        <w:rPr>
          <w:rFonts w:eastAsia="Times New Roman"/>
          <w:color w:val="auto"/>
          <w:sz w:val="44"/>
        </w:rPr>
        <w:t xml:space="preserve"> </w:t>
      </w:r>
    </w:p>
    <w:p>
      <w:pPr>
        <w:spacing w:line="600" w:lineRule="exact"/>
        <w:jc w:val="center"/>
        <w:rPr>
          <w:rFonts w:ascii="楷体" w:hAnsi="楷体" w:eastAsia="楷体" w:cs="楷体"/>
          <w:color w:val="auto"/>
          <w:sz w:val="44"/>
        </w:rPr>
      </w:pPr>
    </w:p>
    <w:p>
      <w:pPr>
        <w:spacing w:line="600" w:lineRule="exact"/>
        <w:jc w:val="center"/>
        <w:rPr>
          <w:rFonts w:ascii="楷体" w:hAnsi="楷体" w:eastAsia="楷体" w:cs="楷体"/>
          <w:color w:val="auto"/>
          <w:sz w:val="44"/>
        </w:rPr>
      </w:pPr>
      <w:r>
        <w:rPr>
          <w:rFonts w:ascii="楷体" w:hAnsi="楷体" w:eastAsia="楷体" w:cs="楷体"/>
          <w:color w:val="auto"/>
          <w:sz w:val="44"/>
        </w:rPr>
        <w:t>填表说明</w:t>
      </w:r>
    </w:p>
    <w:p>
      <w:pPr>
        <w:spacing w:line="600" w:lineRule="exact"/>
        <w:jc w:val="center"/>
        <w:rPr>
          <w:rFonts w:ascii="楷体" w:hAnsi="楷体" w:eastAsia="楷体" w:cs="楷体"/>
          <w:color w:val="auto"/>
          <w:sz w:val="44"/>
        </w:rPr>
      </w:pPr>
    </w:p>
    <w:p>
      <w:pPr>
        <w:spacing w:line="600" w:lineRule="exact"/>
        <w:rPr>
          <w:rFonts w:eastAsia="仿宋_GB2312"/>
          <w:color w:val="auto"/>
          <w:sz w:val="32"/>
        </w:rPr>
      </w:pPr>
      <w:r>
        <w:rPr>
          <w:rFonts w:eastAsia="Times New Roman"/>
          <w:color w:val="auto"/>
          <w:sz w:val="32"/>
        </w:rPr>
        <w:t xml:space="preserve">    </w:t>
      </w:r>
      <w:r>
        <w:rPr>
          <w:rFonts w:eastAsia="仿宋_GB2312"/>
          <w:color w:val="auto"/>
          <w:sz w:val="32"/>
        </w:rPr>
        <w:t>一、申报的每一项新增医疗服务价格项目，均填写一张“新增医疗服务价格项目申报表”。</w:t>
      </w:r>
    </w:p>
    <w:p>
      <w:pPr>
        <w:spacing w:line="600" w:lineRule="exact"/>
        <w:rPr>
          <w:rFonts w:eastAsia="仿宋_GB2312"/>
          <w:color w:val="auto"/>
          <w:sz w:val="32"/>
        </w:rPr>
      </w:pPr>
      <w:r>
        <w:rPr>
          <w:rFonts w:eastAsia="仿宋_GB2312"/>
          <w:color w:val="auto"/>
          <w:sz w:val="32"/>
        </w:rPr>
        <w:t xml:space="preserve">    二、类别：在相应的类别后面划“√”。</w:t>
      </w:r>
    </w:p>
    <w:p>
      <w:pPr>
        <w:spacing w:line="600" w:lineRule="exact"/>
        <w:rPr>
          <w:rFonts w:eastAsia="仿宋_GB2312"/>
          <w:color w:val="auto"/>
          <w:sz w:val="32"/>
        </w:rPr>
      </w:pPr>
      <w:r>
        <w:rPr>
          <w:rFonts w:eastAsia="仿宋_GB2312"/>
          <w:color w:val="auto"/>
          <w:sz w:val="32"/>
        </w:rPr>
        <w:t xml:space="preserve">    三、项目编码：指新项目、修订项目的顺序号。按照粤发改价格〔2015〕807号文附件2“使用说明”的要求提出建议编码，顺序码共9位阿拉伯数字，填到前六位止，最后三位用“ⅹⅹⅹ”代替。如拟在“医技诊疗类”的“肝病试验诊断”中增加一个新项目，则其“编码”填为“250305ⅹⅹⅹ”。</w:t>
      </w:r>
    </w:p>
    <w:p>
      <w:pPr>
        <w:spacing w:line="600" w:lineRule="exact"/>
        <w:rPr>
          <w:rFonts w:eastAsia="仿宋_GB2312"/>
          <w:color w:val="auto"/>
          <w:sz w:val="32"/>
        </w:rPr>
      </w:pPr>
      <w:r>
        <w:rPr>
          <w:rFonts w:eastAsia="仿宋_GB2312"/>
          <w:color w:val="auto"/>
          <w:sz w:val="32"/>
        </w:rPr>
        <w:t xml:space="preserve">     四、申报的“项目名称”、“项目内涵”和“除外内容”按粤发改价格〔2015〕807号文附件2“使用说明”的要求填写。项目名称以诊疗目的或结果命名，不得以设备、仪器、试剂的称谓命名。</w:t>
      </w:r>
    </w:p>
    <w:p>
      <w:pPr>
        <w:spacing w:line="600" w:lineRule="exact"/>
        <w:rPr>
          <w:rFonts w:eastAsia="仿宋_GB2312"/>
          <w:color w:val="auto"/>
          <w:sz w:val="32"/>
        </w:rPr>
      </w:pPr>
      <w:r>
        <w:rPr>
          <w:rFonts w:eastAsia="仿宋_GB2312"/>
          <w:color w:val="auto"/>
          <w:sz w:val="32"/>
        </w:rPr>
        <w:t xml:space="preserve">     五、项目适用范围及临床意义。申报项目涉及到医疗器械的“适用范围”原则上依据市场监管部门批件上的“适用范围”填写；提供相关的佐证材料说明申报项目的临床意义。</w:t>
      </w:r>
    </w:p>
    <w:p>
      <w:pPr>
        <w:spacing w:line="600" w:lineRule="exact"/>
        <w:rPr>
          <w:rFonts w:eastAsia="仿宋_GB2312"/>
          <w:color w:val="auto"/>
          <w:sz w:val="32"/>
        </w:rPr>
      </w:pPr>
      <w:r>
        <w:rPr>
          <w:rFonts w:eastAsia="仿宋_GB2312"/>
          <w:color w:val="auto"/>
          <w:sz w:val="32"/>
        </w:rPr>
        <w:t xml:space="preserve">    六、质量标准。申报项目涉及到医疗器械的应填写市场监管部门的注册证编号，产品型号规格、结构及组成、有效期及产品标准编号等信息。</w:t>
      </w:r>
    </w:p>
    <w:p>
      <w:pPr>
        <w:rPr>
          <w:rFonts w:ascii="仿宋_GB2312" w:hAnsi="仿宋_GB2312" w:eastAsia="仿宋_GB2312" w:cs="仿宋_GB2312"/>
          <w:color w:val="auto"/>
          <w:sz w:val="32"/>
        </w:rPr>
      </w:pPr>
    </w:p>
    <w:p>
      <w:pPr>
        <w:rPr>
          <w:rFonts w:ascii="仿宋_GB2312" w:hAnsi="仿宋_GB2312" w:eastAsia="仿宋_GB2312" w:cs="仿宋_GB2312"/>
          <w:color w:val="auto"/>
          <w:sz w:val="32"/>
        </w:rPr>
        <w:sectPr>
          <w:footerReference r:id="rId3" w:type="default"/>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color w:val="auto"/>
          <w:sz w:val="32"/>
        </w:rPr>
      </w:pPr>
      <w:r>
        <w:rPr>
          <w:rFonts w:eastAsia="黑体"/>
          <w:color w:val="auto"/>
          <w:sz w:val="32"/>
        </w:rPr>
        <w:t>附件2</w:t>
      </w:r>
      <w:r>
        <w:rPr>
          <w:rFonts w:ascii="仿宋_GB2312" w:hAnsi="仿宋_GB2312" w:eastAsia="仿宋_GB2312" w:cs="仿宋_GB2312"/>
          <w:color w:val="auto"/>
          <w:sz w:val="32"/>
        </w:rPr>
        <w:t xml:space="preserve">              </w:t>
      </w:r>
    </w:p>
    <w:p>
      <w:pPr>
        <w:jc w:val="center"/>
        <w:rPr>
          <w:rFonts w:ascii="楷体_GB2312" w:hAnsi="楷体_GB2312" w:eastAsia="楷体_GB2312" w:cs="楷体_GB2312"/>
          <w:b/>
          <w:color w:val="auto"/>
          <w:sz w:val="36"/>
        </w:rPr>
      </w:pPr>
      <w:r>
        <w:rPr>
          <w:rFonts w:ascii="楷体_GB2312" w:hAnsi="楷体_GB2312" w:eastAsia="楷体_GB2312" w:cs="楷体_GB2312"/>
          <w:b/>
          <w:color w:val="auto"/>
          <w:sz w:val="44"/>
        </w:rPr>
        <w:t>新增医疗服务价格项目成本</w:t>
      </w:r>
      <w:r>
        <w:rPr>
          <w:rFonts w:hint="eastAsia" w:ascii="楷体_GB2312" w:hAnsi="楷体_GB2312" w:eastAsia="楷体_GB2312" w:cs="楷体_GB2312"/>
          <w:b/>
          <w:color w:val="auto"/>
          <w:sz w:val="44"/>
        </w:rPr>
        <w:t>测算</w:t>
      </w:r>
      <w:r>
        <w:rPr>
          <w:rFonts w:ascii="楷体_GB2312" w:hAnsi="楷体_GB2312" w:eastAsia="楷体_GB2312" w:cs="楷体_GB2312"/>
          <w:b/>
          <w:color w:val="auto"/>
          <w:sz w:val="44"/>
        </w:rPr>
        <w:t>表</w:t>
      </w:r>
    </w:p>
    <w:p>
      <w:pPr>
        <w:spacing w:after="156"/>
        <w:rPr>
          <w:rFonts w:ascii="仿宋_GB2312" w:hAnsi="仿宋_GB2312" w:eastAsia="仿宋_GB2312" w:cs="仿宋_GB2312"/>
          <w:color w:val="auto"/>
          <w:sz w:val="18"/>
        </w:rPr>
      </w:pPr>
      <w:r>
        <w:rPr>
          <w:rFonts w:ascii="仿宋_GB2312" w:hAnsi="仿宋_GB2312" w:eastAsia="仿宋_GB2312" w:cs="仿宋_GB2312"/>
          <w:color w:val="auto"/>
          <w:sz w:val="18"/>
        </w:rPr>
        <w:t>项目名称:                                                                                         审报单位(医疗机构盖章):</w:t>
      </w:r>
    </w:p>
    <w:tbl>
      <w:tblPr>
        <w:tblStyle w:val="11"/>
        <w:tblW w:w="13250" w:type="dxa"/>
        <w:tblInd w:w="88" w:type="dxa"/>
        <w:tblLayout w:type="fixed"/>
        <w:tblCellMar>
          <w:top w:w="0" w:type="dxa"/>
          <w:left w:w="10" w:type="dxa"/>
          <w:bottom w:w="0" w:type="dxa"/>
          <w:right w:w="10" w:type="dxa"/>
        </w:tblCellMar>
      </w:tblPr>
      <w:tblGrid>
        <w:gridCol w:w="1805"/>
        <w:gridCol w:w="945"/>
        <w:gridCol w:w="1155"/>
        <w:gridCol w:w="1680"/>
        <w:gridCol w:w="1155"/>
        <w:gridCol w:w="236"/>
        <w:gridCol w:w="1549"/>
        <w:gridCol w:w="752"/>
        <w:gridCol w:w="721"/>
        <w:gridCol w:w="1152"/>
        <w:gridCol w:w="1050"/>
        <w:gridCol w:w="1050"/>
      </w:tblGrid>
      <w:tr>
        <w:tblPrEx>
          <w:tblLayout w:type="fixed"/>
          <w:tblCellMar>
            <w:top w:w="0" w:type="dxa"/>
            <w:left w:w="10" w:type="dxa"/>
            <w:bottom w:w="0" w:type="dxa"/>
            <w:right w:w="10" w:type="dxa"/>
          </w:tblCellMar>
        </w:tblPrEx>
        <w:tc>
          <w:tcPr>
            <w:tcW w:w="5585"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一、劳务支出</w:t>
            </w:r>
          </w:p>
        </w:tc>
        <w:tc>
          <w:tcPr>
            <w:tcW w:w="1155"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restart"/>
            <w:tcBorders>
              <w:top w:val="single" w:color="000000" w:sz="4"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549"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参加人员</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人数</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工时(小时)</w:t>
            </w: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小时工资、福利额</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技术员</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rPr>
          <w:trHeight w:val="90" w:hRule="atLeast"/>
        </w:trPr>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护士</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小计</w:t>
            </w: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医师</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6274" w:type="dxa"/>
            <w:gridSpan w:val="6"/>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三、固定资产折旧</w:t>
            </w: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6274" w:type="dxa"/>
            <w:gridSpan w:val="6"/>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（一）医疗仪器设备</w:t>
            </w: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小计</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设备名称</w:t>
            </w: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原值</w:t>
            </w: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使用年限</w:t>
            </w: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使用时间</w:t>
            </w: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二、材料消耗支出</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6740"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（一）卫生材料</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品名</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单位</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数量</w:t>
            </w: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单价</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0" w:space="0"/>
              <w:right w:val="single" w:color="000000" w:sz="0"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小计</w:t>
            </w:r>
          </w:p>
        </w:tc>
        <w:tc>
          <w:tcPr>
            <w:tcW w:w="94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5585"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（二）低值易耗品</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品名</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单位</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数量</w:t>
            </w: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单价</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小计</w:t>
            </w: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（三）试剂</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6274"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spacing w:line="200" w:lineRule="exact"/>
              <w:rPr>
                <w:color w:val="auto"/>
              </w:rPr>
            </w:pPr>
            <w:r>
              <w:rPr>
                <w:rFonts w:ascii="仿宋_GB2312" w:hAnsi="仿宋_GB2312" w:eastAsia="仿宋_GB2312" w:cs="仿宋_GB2312"/>
                <w:color w:val="auto"/>
                <w:sz w:val="18"/>
              </w:rPr>
              <w:t>（二）房屋及其它</w:t>
            </w: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名称</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单位</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数量</w:t>
            </w: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单价</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6274" w:type="dxa"/>
            <w:gridSpan w:val="6"/>
            <w:vMerge w:val="continue"/>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spacing w:line="200" w:lineRule="exact"/>
              <w:jc w:val="left"/>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名称</w:t>
            </w: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原值</w:t>
            </w: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使用年限</w:t>
            </w: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使用时间</w:t>
            </w: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小计</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6740"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rPr>
                <w:color w:val="auto"/>
              </w:rPr>
            </w:pPr>
            <w:r>
              <w:rPr>
                <w:rFonts w:ascii="仿宋_GB2312" w:hAnsi="仿宋_GB2312" w:eastAsia="仿宋_GB2312" w:cs="仿宋_GB2312"/>
                <w:color w:val="auto"/>
                <w:sz w:val="18"/>
              </w:rPr>
              <w:t>（四）水电燃料</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名称</w:t>
            </w: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单位</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耗用量</w:t>
            </w: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单价</w:t>
            </w: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应计金额</w:t>
            </w: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rPr>
          <w:trHeight w:val="240" w:hRule="atLeast"/>
        </w:trPr>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00" w:lineRule="exact"/>
              <w:jc w:val="left"/>
              <w:rPr>
                <w:rFonts w:ascii="宋体" w:hAnsi="宋体" w:cs="宋体"/>
                <w:color w:val="auto"/>
                <w:sz w:val="22"/>
              </w:rPr>
            </w:pPr>
          </w:p>
        </w:tc>
        <w:tc>
          <w:tcPr>
            <w:tcW w:w="154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color w:val="auto"/>
              </w:rPr>
            </w:pPr>
            <w:r>
              <w:rPr>
                <w:rFonts w:ascii="仿宋_GB2312" w:hAnsi="仿宋_GB2312" w:eastAsia="仿宋_GB2312" w:cs="仿宋_GB2312"/>
                <w:color w:val="auto"/>
                <w:sz w:val="18"/>
              </w:rPr>
              <w:t>小计</w:t>
            </w:r>
          </w:p>
        </w:tc>
        <w:tc>
          <w:tcPr>
            <w:tcW w:w="1473"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152"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c>
          <w:tcPr>
            <w:tcW w:w="105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0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20" w:lineRule="exact"/>
              <w:jc w:val="left"/>
              <w:rPr>
                <w:rFonts w:ascii="宋体" w:hAnsi="宋体" w:cs="宋体"/>
                <w:color w:val="auto"/>
                <w:sz w:val="22"/>
              </w:rPr>
            </w:pPr>
          </w:p>
        </w:tc>
        <w:tc>
          <w:tcPr>
            <w:tcW w:w="6274" w:type="dxa"/>
            <w:gridSpan w:val="6"/>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rPr>
                <w:color w:val="auto"/>
              </w:rPr>
            </w:pPr>
            <w:r>
              <w:rPr>
                <w:rFonts w:ascii="仿宋_GB2312" w:hAnsi="仿宋_GB2312" w:eastAsia="仿宋_GB2312" w:cs="仿宋_GB2312"/>
                <w:color w:val="auto"/>
                <w:sz w:val="18"/>
              </w:rPr>
              <w:t>四、管理费及其他</w:t>
            </w: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20" w:lineRule="exact"/>
              <w:jc w:val="left"/>
              <w:rPr>
                <w:rFonts w:ascii="宋体" w:hAnsi="宋体" w:cs="宋体"/>
                <w:color w:val="auto"/>
                <w:sz w:val="22"/>
              </w:rPr>
            </w:pPr>
          </w:p>
        </w:tc>
        <w:tc>
          <w:tcPr>
            <w:tcW w:w="302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rPr>
                <w:color w:val="auto"/>
              </w:rPr>
            </w:pPr>
            <w:r>
              <w:rPr>
                <w:rFonts w:ascii="仿宋_GB2312" w:hAnsi="仿宋_GB2312" w:eastAsia="仿宋_GB2312" w:cs="仿宋_GB2312"/>
                <w:color w:val="auto"/>
                <w:sz w:val="18"/>
              </w:rPr>
              <w:t>（一）管理费分摊</w:t>
            </w:r>
          </w:p>
        </w:tc>
        <w:tc>
          <w:tcPr>
            <w:tcW w:w="325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line="220" w:lineRule="exact"/>
              <w:jc w:val="left"/>
              <w:rPr>
                <w:rFonts w:ascii="宋体" w:hAnsi="宋体" w:cs="宋体"/>
                <w:color w:val="auto"/>
                <w:sz w:val="22"/>
              </w:rPr>
            </w:pPr>
          </w:p>
        </w:tc>
        <w:tc>
          <w:tcPr>
            <w:tcW w:w="2301" w:type="dxa"/>
            <w:gridSpan w:val="2"/>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spacing w:line="220" w:lineRule="exact"/>
              <w:rPr>
                <w:color w:val="auto"/>
              </w:rPr>
            </w:pPr>
            <w:r>
              <w:rPr>
                <w:rFonts w:ascii="仿宋_GB2312" w:hAnsi="仿宋_GB2312" w:eastAsia="仿宋_GB2312" w:cs="仿宋_GB2312"/>
                <w:color w:val="auto"/>
                <w:sz w:val="18"/>
              </w:rPr>
              <w:t>（二）其它</w:t>
            </w:r>
          </w:p>
        </w:tc>
        <w:tc>
          <w:tcPr>
            <w:tcW w:w="721"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rPr>
                <w:rFonts w:ascii="宋体" w:hAnsi="宋体" w:cs="宋体"/>
                <w:color w:val="auto"/>
                <w:sz w:val="22"/>
              </w:rPr>
            </w:pPr>
          </w:p>
        </w:tc>
        <w:tc>
          <w:tcPr>
            <w:tcW w:w="325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r>
      <w:tr>
        <w:tblPrEx>
          <w:tblLayout w:type="fixed"/>
          <w:tblCellMar>
            <w:top w:w="0" w:type="dxa"/>
            <w:left w:w="10" w:type="dxa"/>
            <w:bottom w:w="0" w:type="dxa"/>
            <w:right w:w="10" w:type="dxa"/>
          </w:tblCellMar>
        </w:tblPrEx>
        <w:tc>
          <w:tcPr>
            <w:tcW w:w="1805"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220" w:lineRule="exact"/>
              <w:rPr>
                <w:rFonts w:ascii="宋体" w:hAnsi="宋体" w:cs="宋体"/>
                <w:color w:val="auto"/>
                <w:sz w:val="22"/>
              </w:rPr>
            </w:pPr>
          </w:p>
        </w:tc>
        <w:tc>
          <w:tcPr>
            <w:tcW w:w="94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680"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115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c>
          <w:tcPr>
            <w:tcW w:w="236" w:type="dxa"/>
            <w:vMerge w:val="continue"/>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left"/>
              <w:rPr>
                <w:rFonts w:ascii="宋体" w:hAnsi="宋体" w:cs="宋体"/>
                <w:color w:val="auto"/>
                <w:sz w:val="22"/>
              </w:rPr>
            </w:pPr>
          </w:p>
        </w:tc>
        <w:tc>
          <w:tcPr>
            <w:tcW w:w="302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rPr>
                <w:color w:val="auto"/>
              </w:rPr>
            </w:pPr>
            <w:r>
              <w:rPr>
                <w:rFonts w:ascii="仿宋_GB2312" w:hAnsi="仿宋_GB2312" w:eastAsia="仿宋_GB2312" w:cs="仿宋_GB2312"/>
                <w:color w:val="auto"/>
                <w:sz w:val="18"/>
              </w:rPr>
              <w:t>五、项目成本合计</w:t>
            </w:r>
          </w:p>
        </w:tc>
        <w:tc>
          <w:tcPr>
            <w:tcW w:w="325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line="220" w:lineRule="exact"/>
              <w:jc w:val="center"/>
              <w:rPr>
                <w:rFonts w:ascii="宋体" w:hAnsi="宋体" w:cs="宋体"/>
                <w:color w:val="auto"/>
                <w:sz w:val="22"/>
              </w:rPr>
            </w:pPr>
          </w:p>
        </w:tc>
      </w:tr>
      <w:tr>
        <w:tblPrEx>
          <w:tblLayout w:type="fixed"/>
          <w:tblCellMar>
            <w:top w:w="0" w:type="dxa"/>
            <w:left w:w="10" w:type="dxa"/>
            <w:bottom w:w="0" w:type="dxa"/>
            <w:right w:w="10" w:type="dxa"/>
          </w:tblCellMar>
        </w:tblPrEx>
        <w:trPr>
          <w:trHeight w:val="412" w:hRule="atLeast"/>
        </w:trPr>
        <w:tc>
          <w:tcPr>
            <w:tcW w:w="13250" w:type="dxa"/>
            <w:gridSpan w:val="12"/>
            <w:tcBorders>
              <w:top w:val="single" w:color="000000" w:sz="4" w:space="0"/>
              <w:left w:val="single" w:color="000000" w:sz="0" w:space="0"/>
              <w:bottom w:val="single" w:color="000000" w:sz="0" w:space="0"/>
              <w:right w:val="single" w:color="000000" w:sz="0" w:space="0"/>
            </w:tcBorders>
            <w:shd w:val="clear" w:color="auto" w:fill="auto"/>
            <w:tcMar>
              <w:left w:w="108" w:type="dxa"/>
              <w:right w:w="108" w:type="dxa"/>
            </w:tcMar>
            <w:vAlign w:val="bottom"/>
          </w:tcPr>
          <w:p>
            <w:pPr>
              <w:spacing w:line="220" w:lineRule="exact"/>
              <w:jc w:val="left"/>
              <w:rPr>
                <w:rFonts w:eastAsia="仿宋_GB2312"/>
                <w:color w:val="auto"/>
              </w:rPr>
            </w:pPr>
            <w:r>
              <w:rPr>
                <w:rFonts w:ascii="仿宋_GB2312" w:hAnsi="仿宋_GB2312" w:eastAsia="仿宋_GB2312" w:cs="仿宋_GB2312"/>
                <w:color w:val="auto"/>
                <w:spacing w:val="-6"/>
                <w:sz w:val="18"/>
              </w:rPr>
              <w:t>说明：1.小时工资是指申报医院的平均小时工资（含福利、社保）;2.工时是指参与完成医疗服务项目人员的实际用时；</w:t>
            </w:r>
            <w:r>
              <w:rPr>
                <w:rFonts w:hint="eastAsia" w:ascii="仿宋_GB2312" w:hAnsi="仿宋_GB2312" w:eastAsia="仿宋_GB2312" w:cs="仿宋_GB2312"/>
                <w:color w:val="auto"/>
                <w:spacing w:val="-6"/>
                <w:sz w:val="18"/>
              </w:rPr>
              <w:t>3.使用年限为折旧年限。</w:t>
            </w:r>
          </w:p>
        </w:tc>
      </w:tr>
    </w:tbl>
    <w:p>
      <w:pPr>
        <w:spacing w:line="500" w:lineRule="exact"/>
        <w:jc w:val="center"/>
        <w:rPr>
          <w:rFonts w:ascii="楷体" w:hAnsi="楷体" w:eastAsia="楷体" w:cs="楷体"/>
          <w:color w:val="auto"/>
          <w:sz w:val="44"/>
        </w:rPr>
      </w:pPr>
    </w:p>
    <w:p>
      <w:pPr>
        <w:spacing w:line="500" w:lineRule="exact"/>
        <w:jc w:val="center"/>
        <w:rPr>
          <w:rFonts w:ascii="楷体" w:hAnsi="楷体" w:eastAsia="楷体" w:cs="楷体"/>
          <w:color w:val="auto"/>
          <w:sz w:val="44"/>
        </w:rPr>
      </w:pPr>
      <w:r>
        <w:rPr>
          <w:rFonts w:ascii="楷体" w:hAnsi="楷体" w:eastAsia="楷体" w:cs="楷体"/>
          <w:color w:val="auto"/>
          <w:sz w:val="44"/>
        </w:rPr>
        <w:t>填表说明</w:t>
      </w:r>
    </w:p>
    <w:p>
      <w:pPr>
        <w:spacing w:line="500" w:lineRule="exact"/>
        <w:ind w:firstLine="640"/>
        <w:rPr>
          <w:rFonts w:ascii="黑体" w:hAnsi="黑体" w:eastAsia="黑体" w:cs="黑体"/>
          <w:color w:val="auto"/>
          <w:sz w:val="32"/>
        </w:rPr>
      </w:pPr>
      <w:r>
        <w:rPr>
          <w:rFonts w:ascii="黑体" w:hAnsi="黑体" w:eastAsia="黑体" w:cs="黑体"/>
          <w:color w:val="auto"/>
          <w:sz w:val="32"/>
        </w:rPr>
        <w:t>一、人工成本</w:t>
      </w:r>
    </w:p>
    <w:p>
      <w:pPr>
        <w:spacing w:line="500" w:lineRule="exact"/>
        <w:ind w:firstLine="640"/>
        <w:rPr>
          <w:rFonts w:eastAsia="仿宋_GB2312"/>
          <w:color w:val="auto"/>
          <w:sz w:val="32"/>
        </w:rPr>
      </w:pPr>
      <w:r>
        <w:rPr>
          <w:rFonts w:ascii="楷体" w:hAnsi="楷体" w:eastAsia="楷体" w:cs="楷体"/>
          <w:color w:val="auto"/>
          <w:sz w:val="32"/>
        </w:rPr>
        <w:t>（一）工资、福利额</w:t>
      </w:r>
      <w:r>
        <w:rPr>
          <w:rFonts w:ascii="仿宋" w:hAnsi="仿宋" w:eastAsia="仿宋" w:cs="仿宋"/>
          <w:color w:val="auto"/>
          <w:sz w:val="32"/>
        </w:rPr>
        <w:t>：</w:t>
      </w:r>
      <w:r>
        <w:rPr>
          <w:rFonts w:eastAsia="仿宋_GB2312"/>
          <w:color w:val="auto"/>
          <w:sz w:val="32"/>
        </w:rPr>
        <w:t>工资、福利额包含基本工资、津贴补贴、绩效工资、社会保障费、其他收入等。</w:t>
      </w:r>
    </w:p>
    <w:p>
      <w:pPr>
        <w:spacing w:line="500" w:lineRule="exact"/>
        <w:ind w:firstLine="640"/>
        <w:rPr>
          <w:rFonts w:eastAsia="仿宋_GB2312"/>
          <w:color w:val="auto"/>
          <w:sz w:val="32"/>
        </w:rPr>
      </w:pPr>
      <w:r>
        <w:rPr>
          <w:rFonts w:ascii="楷体" w:hAnsi="楷体" w:eastAsia="楷体" w:cs="楷体"/>
          <w:color w:val="auto"/>
          <w:sz w:val="32"/>
        </w:rPr>
        <w:t>（二）工时：</w:t>
      </w:r>
      <w:r>
        <w:rPr>
          <w:rFonts w:eastAsia="仿宋_GB2312"/>
          <w:color w:val="auto"/>
          <w:sz w:val="32"/>
        </w:rPr>
        <w:t>参与完成医疗服务项目人员的实际用时。</w:t>
      </w:r>
    </w:p>
    <w:p>
      <w:pPr>
        <w:spacing w:line="500" w:lineRule="exact"/>
        <w:ind w:firstLine="640"/>
        <w:rPr>
          <w:rFonts w:eastAsia="仿宋_GB2312"/>
          <w:color w:val="auto"/>
          <w:sz w:val="32"/>
        </w:rPr>
      </w:pPr>
      <w:r>
        <w:rPr>
          <w:rFonts w:eastAsia="仿宋_GB2312"/>
          <w:color w:val="auto"/>
          <w:sz w:val="32"/>
        </w:rPr>
        <w:t>计算公式：小时工资、福利额（元/小时）=上年职工人均薪酬（上年卫生财务报表“医疗支出”科目的“工资”明细科目总额除以该年在册医务人员总人数）÷（12个月×22天×8小时）</w:t>
      </w:r>
    </w:p>
    <w:p>
      <w:pPr>
        <w:spacing w:line="500" w:lineRule="exact"/>
        <w:ind w:firstLine="640"/>
        <w:rPr>
          <w:rFonts w:ascii="黑体" w:hAnsi="黑体" w:eastAsia="黑体" w:cs="黑体"/>
          <w:color w:val="auto"/>
          <w:sz w:val="32"/>
        </w:rPr>
      </w:pPr>
      <w:r>
        <w:rPr>
          <w:rFonts w:ascii="黑体" w:hAnsi="黑体" w:eastAsia="黑体" w:cs="黑体"/>
          <w:color w:val="auto"/>
          <w:sz w:val="32"/>
        </w:rPr>
        <w:t>二、医用卫生材料</w:t>
      </w:r>
    </w:p>
    <w:p>
      <w:pPr>
        <w:spacing w:line="500" w:lineRule="exact"/>
        <w:ind w:firstLine="640"/>
        <w:rPr>
          <w:rFonts w:eastAsia="仿宋_GB2312"/>
          <w:color w:val="auto"/>
          <w:sz w:val="32"/>
        </w:rPr>
      </w:pPr>
      <w:r>
        <w:rPr>
          <w:rFonts w:ascii="楷体" w:hAnsi="楷体" w:eastAsia="楷体" w:cs="楷体"/>
          <w:color w:val="auto"/>
          <w:sz w:val="32"/>
        </w:rPr>
        <w:t>（一）卫生材料：</w:t>
      </w:r>
      <w:r>
        <w:rPr>
          <w:rFonts w:eastAsia="仿宋_GB2312"/>
          <w:color w:val="auto"/>
          <w:sz w:val="32"/>
        </w:rPr>
        <w:t>指该医疗服务价格项目应当使用的、市场价格和使用数量相对稳定的一次性医用卫生材料，如：输液器、输血器、注射器、采血针、普通输液胶贴、普通采血管、连接管、吸引器、采血管、普通缝合线及一次性手术包等。</w:t>
      </w:r>
    </w:p>
    <w:p>
      <w:pPr>
        <w:spacing w:line="500" w:lineRule="exact"/>
        <w:ind w:firstLine="640"/>
        <w:rPr>
          <w:rFonts w:eastAsia="仿宋_GB2312"/>
          <w:color w:val="auto"/>
          <w:sz w:val="32"/>
        </w:rPr>
      </w:pPr>
      <w:r>
        <w:rPr>
          <w:rFonts w:eastAsia="仿宋_GB2312"/>
          <w:color w:val="auto"/>
          <w:sz w:val="32"/>
        </w:rPr>
        <w:t>计算公式：应摊金额=实际消耗数量×单价</w:t>
      </w:r>
    </w:p>
    <w:p>
      <w:pPr>
        <w:spacing w:line="500" w:lineRule="exact"/>
        <w:ind w:firstLine="640"/>
        <w:rPr>
          <w:rFonts w:eastAsia="仿宋_GB2312"/>
          <w:color w:val="auto"/>
          <w:sz w:val="32"/>
        </w:rPr>
      </w:pPr>
      <w:r>
        <w:rPr>
          <w:rFonts w:ascii="楷体" w:hAnsi="楷体" w:eastAsia="楷体" w:cs="楷体"/>
          <w:color w:val="auto"/>
          <w:sz w:val="32"/>
        </w:rPr>
        <w:t>（二）低值易耗品：</w:t>
      </w:r>
      <w:r>
        <w:rPr>
          <w:rFonts w:eastAsia="仿宋_GB2312"/>
          <w:color w:val="auto"/>
          <w:sz w:val="32"/>
        </w:rPr>
        <w:t>指医疗机构提供医疗服务过程中消耗的低值卫生材料。如：碘酒、酒精、棉球、棉花、棉签、纱布、普通敷料、帽子、口罩、鞋套、袜套、手套、手术衣、绷带、检查垫、压舌板、止血带、消毒液、弯盘等。</w:t>
      </w:r>
    </w:p>
    <w:p>
      <w:pPr>
        <w:spacing w:line="500" w:lineRule="exact"/>
        <w:ind w:firstLine="640"/>
        <w:rPr>
          <w:rFonts w:eastAsia="仿宋_GB2312"/>
          <w:color w:val="auto"/>
          <w:sz w:val="32"/>
        </w:rPr>
      </w:pPr>
      <w:r>
        <w:rPr>
          <w:rFonts w:eastAsia="仿宋_GB2312"/>
          <w:color w:val="auto"/>
          <w:sz w:val="32"/>
        </w:rPr>
        <w:t>计算公式：应摊金额=实际消耗数量×单价</w:t>
      </w:r>
    </w:p>
    <w:p>
      <w:pPr>
        <w:spacing w:line="500" w:lineRule="exact"/>
        <w:ind w:firstLine="640"/>
        <w:rPr>
          <w:rFonts w:eastAsia="仿宋_GB2312"/>
          <w:color w:val="auto"/>
          <w:sz w:val="32"/>
        </w:rPr>
      </w:pPr>
      <w:r>
        <w:rPr>
          <w:rFonts w:eastAsia="仿宋_GB2312"/>
          <w:color w:val="auto"/>
          <w:sz w:val="32"/>
        </w:rPr>
        <w:t>（注：实际消耗数量为每人每次实际耗用量，如一瓶酒精，可用20人次，则消耗数量为1/20瓶。）</w:t>
      </w:r>
    </w:p>
    <w:p>
      <w:pPr>
        <w:spacing w:line="500" w:lineRule="exact"/>
        <w:ind w:firstLine="640"/>
        <w:rPr>
          <w:rFonts w:eastAsia="仿宋_GB2312"/>
          <w:color w:val="auto"/>
          <w:sz w:val="32"/>
        </w:rPr>
      </w:pPr>
      <w:r>
        <w:rPr>
          <w:rFonts w:ascii="楷体" w:hAnsi="楷体" w:eastAsia="楷体" w:cs="楷体"/>
          <w:color w:val="auto"/>
          <w:sz w:val="32"/>
        </w:rPr>
        <w:t>（三）试剂：</w:t>
      </w:r>
      <w:r>
        <w:rPr>
          <w:rFonts w:eastAsia="仿宋_GB2312"/>
          <w:color w:val="auto"/>
          <w:sz w:val="32"/>
        </w:rPr>
        <w:t>诊疗项目中供多人使用的药品（不含患者处方独立领取的药品）及其他消耗品等，如：眼科检查时用的阿托品等。包括检测试剂、散装局麻药品、染色剂、耦合剂、保存液等。</w:t>
      </w:r>
    </w:p>
    <w:p>
      <w:pPr>
        <w:spacing w:line="500" w:lineRule="exact"/>
        <w:ind w:firstLine="960"/>
        <w:rPr>
          <w:rFonts w:eastAsia="仿宋_GB2312"/>
          <w:color w:val="auto"/>
          <w:sz w:val="32"/>
        </w:rPr>
      </w:pPr>
      <w:r>
        <w:rPr>
          <w:rFonts w:eastAsia="仿宋_GB2312"/>
          <w:color w:val="auto"/>
          <w:sz w:val="32"/>
        </w:rPr>
        <w:t>计算公式：应摊金额=实际消耗数量×单价</w:t>
      </w:r>
    </w:p>
    <w:p>
      <w:pPr>
        <w:spacing w:line="500" w:lineRule="exact"/>
        <w:ind w:firstLine="640"/>
        <w:rPr>
          <w:rFonts w:eastAsia="仿宋_GB2312"/>
          <w:color w:val="auto"/>
          <w:sz w:val="32"/>
        </w:rPr>
      </w:pPr>
      <w:r>
        <w:rPr>
          <w:rFonts w:eastAsia="仿宋_GB2312"/>
          <w:color w:val="auto"/>
          <w:sz w:val="32"/>
        </w:rPr>
        <w:t>（注：实际消耗数量为每人每次实际耗用量，如一个试剂盒可检测5人份，则消耗数量为1/5。）</w:t>
      </w:r>
    </w:p>
    <w:p>
      <w:pPr>
        <w:spacing w:line="500" w:lineRule="exact"/>
        <w:jc w:val="center"/>
        <w:rPr>
          <w:rFonts w:eastAsia="仿宋_GB2312"/>
          <w:color w:val="auto"/>
          <w:sz w:val="32"/>
        </w:rPr>
      </w:pPr>
      <w:r>
        <w:rPr>
          <w:rFonts w:ascii="楷体" w:hAnsi="楷体" w:eastAsia="楷体" w:cs="楷体"/>
          <w:color w:val="auto"/>
          <w:sz w:val="32"/>
        </w:rPr>
        <w:t>（四）水电燃料：</w:t>
      </w:r>
      <w:r>
        <w:rPr>
          <w:rFonts w:eastAsia="仿宋_GB2312"/>
          <w:color w:val="auto"/>
          <w:sz w:val="32"/>
        </w:rPr>
        <w:t>水电燃料消耗按实际消耗计算，计算公式：应摊金额=实际消耗数量×单价</w:t>
      </w:r>
    </w:p>
    <w:p>
      <w:pPr>
        <w:spacing w:line="500" w:lineRule="exact"/>
        <w:ind w:firstLine="640"/>
        <w:rPr>
          <w:rFonts w:ascii="黑体" w:hAnsi="黑体" w:eastAsia="黑体" w:cs="黑体"/>
          <w:color w:val="auto"/>
          <w:sz w:val="32"/>
        </w:rPr>
      </w:pPr>
      <w:r>
        <w:rPr>
          <w:rFonts w:ascii="黑体" w:hAnsi="黑体" w:eastAsia="黑体" w:cs="黑体"/>
          <w:color w:val="auto"/>
          <w:sz w:val="32"/>
        </w:rPr>
        <w:t>三、固定资产折旧</w:t>
      </w:r>
    </w:p>
    <w:p>
      <w:pPr>
        <w:spacing w:line="500" w:lineRule="exact"/>
        <w:ind w:firstLine="640"/>
        <w:rPr>
          <w:rFonts w:ascii="楷体" w:hAnsi="楷体" w:eastAsia="楷体" w:cs="楷体"/>
          <w:color w:val="auto"/>
          <w:sz w:val="32"/>
        </w:rPr>
      </w:pPr>
      <w:r>
        <w:rPr>
          <w:rFonts w:ascii="楷体" w:hAnsi="楷体" w:eastAsia="楷体" w:cs="楷体"/>
          <w:color w:val="auto"/>
          <w:sz w:val="32"/>
        </w:rPr>
        <w:t>（一）医疗仪器设备折旧：</w:t>
      </w:r>
    </w:p>
    <w:p>
      <w:pPr>
        <w:spacing w:line="500" w:lineRule="exact"/>
        <w:ind w:firstLine="640"/>
        <w:rPr>
          <w:rFonts w:eastAsia="仿宋_GB2312"/>
          <w:color w:val="auto"/>
          <w:sz w:val="32"/>
        </w:rPr>
      </w:pPr>
      <w:r>
        <w:rPr>
          <w:rFonts w:eastAsia="仿宋_GB2312"/>
          <w:color w:val="auto"/>
          <w:sz w:val="32"/>
        </w:rPr>
        <w:t>计算公式：应摊金额=医疗仪器设备原值÷使用年限÷12个月÷22天÷8小时×设备使用时间</w:t>
      </w:r>
    </w:p>
    <w:p>
      <w:pPr>
        <w:spacing w:line="500" w:lineRule="exact"/>
        <w:ind w:firstLine="640"/>
        <w:rPr>
          <w:rFonts w:ascii="楷体" w:hAnsi="楷体" w:eastAsia="楷体" w:cs="楷体"/>
          <w:color w:val="auto"/>
          <w:sz w:val="32"/>
        </w:rPr>
      </w:pPr>
      <w:r>
        <w:rPr>
          <w:rFonts w:ascii="楷体" w:hAnsi="楷体" w:eastAsia="楷体" w:cs="楷体"/>
          <w:color w:val="auto"/>
          <w:sz w:val="32"/>
        </w:rPr>
        <w:t>（二）房屋及其他折旧</w:t>
      </w:r>
    </w:p>
    <w:p>
      <w:pPr>
        <w:spacing w:line="500" w:lineRule="exact"/>
        <w:ind w:firstLine="640"/>
        <w:rPr>
          <w:rFonts w:eastAsia="仿宋_GB2312"/>
          <w:color w:val="auto"/>
          <w:sz w:val="32"/>
        </w:rPr>
      </w:pPr>
      <w:r>
        <w:rPr>
          <w:rFonts w:hint="eastAsia" w:eastAsia="仿宋_GB2312"/>
          <w:color w:val="auto"/>
          <w:sz w:val="32"/>
        </w:rPr>
        <w:t xml:space="preserve">1.房屋折旧 </w:t>
      </w:r>
    </w:p>
    <w:p>
      <w:pPr>
        <w:spacing w:line="500" w:lineRule="exact"/>
        <w:ind w:firstLine="640"/>
        <w:rPr>
          <w:rFonts w:eastAsia="仿宋_GB2312"/>
          <w:color w:val="auto"/>
          <w:sz w:val="32"/>
        </w:rPr>
      </w:pPr>
      <w:r>
        <w:rPr>
          <w:rFonts w:eastAsia="仿宋_GB2312"/>
          <w:color w:val="auto"/>
          <w:sz w:val="32"/>
        </w:rPr>
        <w:t>计算公式：应摊金额=房屋总造价÷房屋总面积（m</w:t>
      </w:r>
      <w:r>
        <w:rPr>
          <w:rFonts w:eastAsia="仿宋_GB2312"/>
          <w:color w:val="auto"/>
          <w:sz w:val="32"/>
          <w:vertAlign w:val="superscript"/>
        </w:rPr>
        <w:t>2</w:t>
      </w:r>
      <w:r>
        <w:rPr>
          <w:rFonts w:eastAsia="仿宋_GB2312"/>
          <w:color w:val="auto"/>
          <w:sz w:val="32"/>
        </w:rPr>
        <w:t>）÷使用年限÷12个月÷22天÷8小时×实际使用面积×实际使用时间</w:t>
      </w:r>
    </w:p>
    <w:p>
      <w:pPr>
        <w:numPr>
          <w:ilvl w:val="255"/>
          <w:numId w:val="0"/>
        </w:numPr>
        <w:spacing w:line="500" w:lineRule="exact"/>
        <w:ind w:left="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2.其他折旧</w:t>
      </w:r>
    </w:p>
    <w:p>
      <w:pPr>
        <w:spacing w:line="500" w:lineRule="exact"/>
        <w:ind w:firstLine="640"/>
        <w:rPr>
          <w:rFonts w:eastAsia="仿宋_GB2312"/>
          <w:color w:val="auto"/>
          <w:sz w:val="32"/>
        </w:rPr>
      </w:pPr>
      <w:r>
        <w:rPr>
          <w:rFonts w:eastAsia="仿宋_GB2312"/>
          <w:color w:val="auto"/>
          <w:sz w:val="32"/>
        </w:rPr>
        <w:t>计算公式：应摊金额=</w:t>
      </w:r>
      <w:r>
        <w:rPr>
          <w:rFonts w:hint="eastAsia" w:eastAsia="仿宋_GB2312"/>
          <w:color w:val="auto"/>
          <w:sz w:val="32"/>
        </w:rPr>
        <w:t>资产</w:t>
      </w:r>
      <w:r>
        <w:rPr>
          <w:rFonts w:eastAsia="仿宋_GB2312"/>
          <w:color w:val="auto"/>
          <w:sz w:val="32"/>
        </w:rPr>
        <w:t>原值÷使用年限÷12个月÷22天÷8小时×</w:t>
      </w:r>
      <w:r>
        <w:rPr>
          <w:rFonts w:hint="eastAsia" w:eastAsia="仿宋_GB2312"/>
          <w:color w:val="auto"/>
          <w:sz w:val="32"/>
        </w:rPr>
        <w:t>实际</w:t>
      </w:r>
      <w:r>
        <w:rPr>
          <w:rFonts w:eastAsia="仿宋_GB2312"/>
          <w:color w:val="auto"/>
          <w:sz w:val="32"/>
        </w:rPr>
        <w:t>使用时间</w:t>
      </w:r>
    </w:p>
    <w:p>
      <w:pPr>
        <w:spacing w:line="500" w:lineRule="exact"/>
        <w:ind w:firstLine="640"/>
        <w:rPr>
          <w:rFonts w:ascii="黑体" w:hAnsi="黑体" w:eastAsia="黑体" w:cs="黑体"/>
          <w:color w:val="auto"/>
          <w:sz w:val="32"/>
        </w:rPr>
      </w:pPr>
      <w:r>
        <w:rPr>
          <w:rFonts w:hint="eastAsia" w:ascii="黑体" w:hAnsi="黑体" w:eastAsia="黑体" w:cs="黑体"/>
          <w:color w:val="auto"/>
          <w:sz w:val="32"/>
        </w:rPr>
        <w:t>四</w:t>
      </w:r>
      <w:r>
        <w:rPr>
          <w:rFonts w:ascii="黑体" w:hAnsi="黑体" w:eastAsia="黑体" w:cs="黑体"/>
          <w:color w:val="auto"/>
          <w:sz w:val="32"/>
        </w:rPr>
        <w:t>、管理费及其他</w:t>
      </w:r>
    </w:p>
    <w:p>
      <w:pPr>
        <w:spacing w:line="500" w:lineRule="exact"/>
        <w:ind w:firstLine="640"/>
        <w:rPr>
          <w:rFonts w:eastAsia="仿宋_GB2312"/>
          <w:color w:val="auto"/>
          <w:sz w:val="32"/>
        </w:rPr>
      </w:pPr>
      <w:r>
        <w:rPr>
          <w:rFonts w:ascii="楷体" w:hAnsi="楷体" w:eastAsia="楷体" w:cs="楷体"/>
          <w:color w:val="auto"/>
          <w:sz w:val="32"/>
        </w:rPr>
        <w:t>（一）管理费分摊</w:t>
      </w:r>
      <w:r>
        <w:rPr>
          <w:rFonts w:ascii="仿宋" w:hAnsi="仿宋" w:eastAsia="仿宋" w:cs="仿宋"/>
          <w:color w:val="auto"/>
          <w:sz w:val="32"/>
        </w:rPr>
        <w:t>：</w:t>
      </w:r>
      <w:r>
        <w:rPr>
          <w:rFonts w:eastAsia="仿宋_GB2312"/>
          <w:color w:val="auto"/>
          <w:sz w:val="32"/>
        </w:rPr>
        <w:t>根据上年度上报卫生系统统计报表的管理费用率计算项目的管理费。</w:t>
      </w:r>
    </w:p>
    <w:p>
      <w:pPr>
        <w:spacing w:line="500" w:lineRule="exact"/>
        <w:ind w:firstLine="640"/>
        <w:rPr>
          <w:rFonts w:eastAsia="仿宋_GB2312"/>
          <w:color w:val="auto"/>
          <w:sz w:val="32"/>
        </w:rPr>
      </w:pPr>
      <w:r>
        <w:rPr>
          <w:rFonts w:ascii="楷体" w:hAnsi="楷体" w:eastAsia="楷体" w:cs="楷体"/>
          <w:color w:val="auto"/>
          <w:sz w:val="32"/>
        </w:rPr>
        <w:t>（二）计算公式：</w:t>
      </w:r>
      <w:r>
        <w:rPr>
          <w:rFonts w:eastAsia="仿宋_GB2312"/>
          <w:color w:val="auto"/>
          <w:sz w:val="32"/>
        </w:rPr>
        <w:t>管理费分摊=（劳务支出+材料消耗支出+固定资产折旧费用）×管理费用率</w:t>
      </w:r>
    </w:p>
    <w:p>
      <w:pPr>
        <w:spacing w:line="500" w:lineRule="exact"/>
        <w:ind w:firstLine="640"/>
        <w:rPr>
          <w:rFonts w:eastAsia="仿宋_GB2312"/>
          <w:color w:val="auto"/>
          <w:sz w:val="32"/>
        </w:rPr>
      </w:pPr>
    </w:p>
    <w:p>
      <w:pPr>
        <w:rPr>
          <w:rFonts w:ascii="仿宋_GB2312" w:hAnsi="仿宋_GB2312" w:eastAsia="仿宋_GB2312" w:cs="仿宋_GB2312"/>
          <w:color w:val="auto"/>
          <w:sz w:val="32"/>
        </w:rPr>
      </w:pPr>
      <w:r>
        <w:rPr>
          <w:rFonts w:eastAsia="黑体"/>
          <w:color w:val="auto"/>
          <w:sz w:val="32"/>
        </w:rPr>
        <w:t>附件3</w:t>
      </w:r>
      <w:r>
        <w:rPr>
          <w:rFonts w:eastAsia="仿宋_GB2312"/>
          <w:color w:val="auto"/>
          <w:sz w:val="32"/>
        </w:rPr>
        <w:t xml:space="preserve">   </w:t>
      </w:r>
      <w:r>
        <w:rPr>
          <w:rFonts w:ascii="仿宋_GB2312" w:hAnsi="仿宋_GB2312" w:eastAsia="仿宋_GB2312" w:cs="仿宋_GB2312"/>
          <w:color w:val="auto"/>
          <w:sz w:val="32"/>
        </w:rPr>
        <w:t xml:space="preserve">             </w:t>
      </w:r>
    </w:p>
    <w:p>
      <w:pPr>
        <w:jc w:val="center"/>
        <w:rPr>
          <w:rFonts w:ascii="楷体" w:hAnsi="楷体" w:eastAsia="楷体" w:cs="楷体"/>
          <w:b/>
          <w:color w:val="auto"/>
          <w:sz w:val="44"/>
        </w:rPr>
      </w:pPr>
      <w:r>
        <w:rPr>
          <w:rFonts w:ascii="楷体" w:hAnsi="楷体" w:eastAsia="楷体" w:cs="楷体"/>
          <w:b/>
          <w:color w:val="auto"/>
          <w:sz w:val="44"/>
        </w:rPr>
        <w:t>新增医疗服务价格项目转归申请表</w:t>
      </w:r>
    </w:p>
    <w:tbl>
      <w:tblPr>
        <w:tblStyle w:val="11"/>
        <w:tblW w:w="13782" w:type="dxa"/>
        <w:tblInd w:w="0" w:type="dxa"/>
        <w:tblLayout w:type="fixed"/>
        <w:tblCellMar>
          <w:top w:w="0" w:type="dxa"/>
          <w:left w:w="10" w:type="dxa"/>
          <w:bottom w:w="0" w:type="dxa"/>
          <w:right w:w="10" w:type="dxa"/>
        </w:tblCellMar>
      </w:tblPr>
      <w:tblGrid>
        <w:gridCol w:w="518"/>
        <w:gridCol w:w="1024"/>
        <w:gridCol w:w="1200"/>
        <w:gridCol w:w="1245"/>
        <w:gridCol w:w="690"/>
        <w:gridCol w:w="855"/>
        <w:gridCol w:w="1080"/>
        <w:gridCol w:w="1080"/>
        <w:gridCol w:w="765"/>
        <w:gridCol w:w="1245"/>
        <w:gridCol w:w="915"/>
        <w:gridCol w:w="840"/>
        <w:gridCol w:w="810"/>
        <w:gridCol w:w="705"/>
        <w:gridCol w:w="810"/>
      </w:tblGrid>
      <w:tr>
        <w:tblPrEx>
          <w:tblLayout w:type="fixed"/>
          <w:tblCellMar>
            <w:top w:w="0" w:type="dxa"/>
            <w:left w:w="10" w:type="dxa"/>
            <w:bottom w:w="0" w:type="dxa"/>
            <w:right w:w="10" w:type="dxa"/>
          </w:tblCellMar>
        </w:tblPrEx>
        <w:tc>
          <w:tcPr>
            <w:tcW w:w="518"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sz w:val="24"/>
              </w:rPr>
            </w:pPr>
            <w:r>
              <w:rPr>
                <w:rFonts w:ascii="宋体" w:hAnsi="宋体" w:cs="宋体"/>
                <w:color w:val="auto"/>
                <w:sz w:val="24"/>
              </w:rPr>
              <w:t>财务分类</w:t>
            </w:r>
          </w:p>
          <w:p>
            <w:pPr>
              <w:jc w:val="center"/>
              <w:rPr>
                <w:rFonts w:ascii="宋体" w:hAnsi="宋体" w:cs="宋体"/>
                <w:color w:val="auto"/>
              </w:rPr>
            </w:pPr>
          </w:p>
        </w:tc>
        <w:tc>
          <w:tcPr>
            <w:tcW w:w="1024"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ind w:right="412"/>
              <w:jc w:val="center"/>
              <w:rPr>
                <w:rFonts w:ascii="宋体" w:hAnsi="宋体" w:cs="宋体"/>
                <w:color w:val="auto"/>
              </w:rPr>
            </w:pPr>
            <w:r>
              <w:rPr>
                <w:rFonts w:ascii="宋体" w:hAnsi="宋体" w:cs="宋体"/>
                <w:color w:val="auto"/>
                <w:sz w:val="24"/>
              </w:rPr>
              <w:t>编码</w:t>
            </w:r>
          </w:p>
        </w:tc>
        <w:tc>
          <w:tcPr>
            <w:tcW w:w="120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项目名称</w:t>
            </w:r>
            <w:r>
              <w:rPr>
                <w:color w:val="auto"/>
              </w:rPr>
              <w:object>
                <v:shape id="_x0000_i1025" o:spt="75" type="#_x0000_t75" style="height:17.2pt;width:72.8pt;" o:ole="t" filled="f" o:preferrelative="t" stroked="f" coordsize="21600,21600">
                  <v:path/>
                  <v:fill on="f" focussize="0,0"/>
                  <v:stroke on="f" joinstyle="miter"/>
                  <v:imagedata r:id="rId7" o:title=""/>
                  <o:lock v:ext="edit" aspectratio="t"/>
                  <w10:wrap type="none"/>
                  <w10:anchorlock/>
                </v:shape>
                <o:OLEObject Type="Embed" ProgID="" ShapeID="_x0000_i1025" DrawAspect="Content" ObjectID="_1468075725" r:id="rId6">
                  <o:LockedField>false</o:LockedField>
                </o:OLEObject>
              </w:object>
            </w:r>
          </w:p>
        </w:tc>
        <w:tc>
          <w:tcPr>
            <w:tcW w:w="1245"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ind w:right="691"/>
              <w:jc w:val="center"/>
              <w:rPr>
                <w:rFonts w:ascii="宋体" w:hAnsi="宋体" w:cs="宋体"/>
                <w:color w:val="auto"/>
              </w:rPr>
            </w:pPr>
            <w:r>
              <w:rPr>
                <w:rFonts w:ascii="宋体" w:hAnsi="宋体" w:cs="宋体"/>
                <w:color w:val="auto"/>
                <w:sz w:val="24"/>
              </w:rPr>
              <w:t>项目内涵</w:t>
            </w:r>
          </w:p>
        </w:tc>
        <w:tc>
          <w:tcPr>
            <w:tcW w:w="69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除外内容</w:t>
            </w:r>
          </w:p>
        </w:tc>
        <w:tc>
          <w:tcPr>
            <w:tcW w:w="855"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计价        单位</w:t>
            </w:r>
          </w:p>
        </w:tc>
        <w:tc>
          <w:tcPr>
            <w:tcW w:w="108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说明</w:t>
            </w:r>
          </w:p>
        </w:tc>
        <w:tc>
          <w:tcPr>
            <w:tcW w:w="1080" w:type="dxa"/>
            <w:vMerge w:val="restart"/>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全市总开展例数</w:t>
            </w:r>
          </w:p>
        </w:tc>
        <w:tc>
          <w:tcPr>
            <w:tcW w:w="2010" w:type="dxa"/>
            <w:gridSpan w:val="2"/>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开展该项目的医疗机构数</w:t>
            </w: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价  格</w:t>
            </w:r>
          </w:p>
        </w:tc>
        <w:tc>
          <w:tcPr>
            <w:tcW w:w="1515" w:type="dxa"/>
            <w:gridSpan w:val="2"/>
            <w:tcBorders>
              <w:top w:val="single" w:color="000000" w:sz="4" w:space="0"/>
              <w:left w:val="single" w:color="000000" w:sz="4" w:space="0"/>
              <w:bottom w:val="single" w:color="000000" w:sz="0"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申请类别</w:t>
            </w:r>
          </w:p>
        </w:tc>
      </w:tr>
      <w:tr>
        <w:tblPrEx>
          <w:tblLayout w:type="fixed"/>
          <w:tblCellMar>
            <w:top w:w="0" w:type="dxa"/>
            <w:left w:w="10" w:type="dxa"/>
            <w:bottom w:w="0" w:type="dxa"/>
            <w:right w:w="10" w:type="dxa"/>
          </w:tblCellMar>
        </w:tblPrEx>
        <w:tc>
          <w:tcPr>
            <w:tcW w:w="518"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1024"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120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1245"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69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855"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108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108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spacing w:line="600" w:lineRule="auto"/>
              <w:jc w:val="left"/>
              <w:rPr>
                <w:rFonts w:ascii="宋体" w:hAnsi="宋体" w:cs="宋体"/>
                <w:color w:val="auto"/>
                <w:sz w:val="22"/>
              </w:rPr>
            </w:pPr>
          </w:p>
        </w:tc>
        <w:tc>
          <w:tcPr>
            <w:tcW w:w="765"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sz w:val="22"/>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其中三级医院数</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全市加权平均价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最高价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最低价</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保留/不保留</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rPr>
            </w:pPr>
            <w:r>
              <w:rPr>
                <w:rFonts w:ascii="宋体" w:hAnsi="宋体" w:cs="宋体"/>
                <w:color w:val="auto"/>
                <w:sz w:val="24"/>
              </w:rPr>
              <w:t>基本/市场调节价</w:t>
            </w:r>
          </w:p>
        </w:tc>
      </w:tr>
      <w:tr>
        <w:tblPrEx>
          <w:tblLayout w:type="fixed"/>
          <w:tblCellMar>
            <w:top w:w="0" w:type="dxa"/>
            <w:left w:w="10" w:type="dxa"/>
            <w:bottom w:w="0" w:type="dxa"/>
            <w:right w:w="10" w:type="dxa"/>
          </w:tblCellMar>
        </w:tblPrEx>
        <w:tc>
          <w:tcPr>
            <w:tcW w:w="518"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color w:val="auto"/>
                <w:sz w:val="22"/>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1080"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jc w:val="left"/>
              <w:rPr>
                <w:rFonts w:ascii="宋体" w:hAnsi="宋体" w:cs="宋体"/>
                <w:color w:val="auto"/>
                <w:sz w:val="22"/>
              </w:rPr>
            </w:pPr>
          </w:p>
        </w:tc>
        <w:tc>
          <w:tcPr>
            <w:tcW w:w="1080"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jc w:val="left"/>
              <w:rPr>
                <w:rFonts w:ascii="宋体" w:hAnsi="宋体" w:cs="宋体"/>
                <w:color w:val="auto"/>
                <w:sz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1245"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jc w:val="left"/>
              <w:rPr>
                <w:rFonts w:ascii="宋体" w:hAnsi="宋体" w:cs="宋体"/>
                <w:color w:val="auto"/>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810" w:type="dxa"/>
            <w:tcBorders>
              <w:top w:val="single" w:color="000000" w:sz="4" w:space="0"/>
              <w:left w:val="single" w:color="000000" w:sz="4" w:space="0"/>
              <w:bottom w:val="single" w:color="000000" w:sz="4" w:space="0"/>
              <w:right w:val="single" w:color="000000" w:sz="0" w:space="0"/>
            </w:tcBorders>
            <w:shd w:val="clear" w:color="auto" w:fill="auto"/>
            <w:tcMar>
              <w:left w:w="14" w:type="dxa"/>
              <w:right w:w="14" w:type="dxa"/>
            </w:tcMar>
            <w:vAlign w:val="center"/>
          </w:tcPr>
          <w:p>
            <w:pPr>
              <w:jc w:val="left"/>
              <w:rPr>
                <w:rFonts w:ascii="宋体" w:hAnsi="宋体" w:cs="宋体"/>
                <w:color w:val="auto"/>
                <w:sz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left"/>
              <w:rPr>
                <w:rFonts w:ascii="宋体" w:hAnsi="宋体" w:cs="宋体"/>
                <w:color w:val="auto"/>
                <w:sz w:val="22"/>
              </w:rPr>
            </w:pPr>
          </w:p>
        </w:tc>
      </w:tr>
    </w:tbl>
    <w:p>
      <w:pPr>
        <w:tabs>
          <w:tab w:val="left" w:pos="1000"/>
        </w:tabs>
        <w:spacing w:line="600" w:lineRule="auto"/>
        <w:rPr>
          <w:rFonts w:eastAsia="仿宋_GB2312"/>
          <w:color w:val="auto"/>
          <w:sz w:val="32"/>
        </w:rPr>
      </w:pPr>
      <w:r>
        <w:rPr>
          <w:rFonts w:eastAsia="仿宋_GB2312"/>
          <w:color w:val="auto"/>
          <w:sz w:val="32"/>
        </w:rPr>
        <w:t>注：1.申请“不保留”的项目，免填收费例数、开展医疗机构数和价格数据；</w:t>
      </w:r>
    </w:p>
    <w:p>
      <w:pPr>
        <w:ind w:firstLine="640" w:firstLineChars="200"/>
        <w:rPr>
          <w:rFonts w:eastAsia="仿宋_GB2312"/>
          <w:color w:val="auto"/>
          <w:sz w:val="32"/>
          <w:szCs w:val="32"/>
        </w:rPr>
      </w:pPr>
      <w:r>
        <w:rPr>
          <w:rFonts w:eastAsia="仿宋_GB2312"/>
          <w:color w:val="auto"/>
          <w:sz w:val="32"/>
          <w:szCs w:val="32"/>
        </w:rPr>
        <w:t>2.全市加权平均价计算公式为：</w:t>
      </w:r>
      <m:oMath>
        <m:acc>
          <m:accPr>
            <m:chr m:val="̅"/>
            <m:ctrlPr>
              <w:rPr>
                <w:rFonts w:ascii="Cambria Math" w:hAnsi="Cambria Math" w:eastAsia="仿宋_GB2312"/>
                <w:color w:val="auto"/>
                <w:sz w:val="32"/>
                <w:szCs w:val="32"/>
              </w:rPr>
            </m:ctrlPr>
          </m:accPr>
          <m:e>
            <m:r>
              <m:rPr>
                <m:sty m:val="p"/>
              </m:rPr>
              <w:rPr>
                <w:rFonts w:ascii="Cambria Math" w:hAnsi="Cambria Math" w:eastAsia="仿宋_GB2312"/>
                <w:color w:val="auto"/>
                <w:sz w:val="32"/>
                <w:szCs w:val="32"/>
              </w:rPr>
              <m:t>P</m:t>
            </m:r>
            <m:ctrlPr>
              <w:rPr>
                <w:rFonts w:ascii="Cambria Math" w:hAnsi="Cambria Math" w:eastAsia="仿宋_GB2312"/>
                <w:color w:val="auto"/>
                <w:sz w:val="32"/>
                <w:szCs w:val="32"/>
              </w:rPr>
            </m:ctrlPr>
          </m:e>
        </m:acc>
        <m:r>
          <m:rPr>
            <m:sty m:val="p"/>
          </m:rPr>
          <w:rPr>
            <w:rFonts w:ascii="Cambria Math" w:hAnsi="Cambria Math" w:eastAsia="仿宋_GB2312"/>
            <w:color w:val="auto"/>
            <w:sz w:val="32"/>
            <w:szCs w:val="32"/>
          </w:rPr>
          <m:t>=</m:t>
        </m:r>
        <m:f>
          <m:fPr>
            <m:ctrlPr>
              <w:rPr>
                <w:rFonts w:ascii="Cambria Math" w:hAnsi="Cambria Math" w:eastAsia="仿宋_GB2312"/>
                <w:color w:val="auto"/>
                <w:sz w:val="32"/>
                <w:szCs w:val="32"/>
              </w:rPr>
            </m:ctrlPr>
          </m:fPr>
          <m:num>
            <m:nary>
              <m:naryPr>
                <m:chr m:val="∑"/>
                <m:limLoc m:val="undOvr"/>
                <m:subHide m:val="1"/>
                <m:supHide m:val="1"/>
                <m:ctrlPr>
                  <w:rPr>
                    <w:rFonts w:ascii="Cambria Math" w:hAnsi="Cambria Math" w:eastAsia="仿宋_GB2312"/>
                    <w:color w:val="auto"/>
                    <w:sz w:val="32"/>
                    <w:szCs w:val="32"/>
                  </w:rPr>
                </m:ctrlPr>
              </m:naryPr>
              <m:sub>
                <m:ctrlPr>
                  <w:rPr>
                    <w:rFonts w:ascii="Cambria Math" w:hAnsi="Cambria Math" w:eastAsia="仿宋_GB2312"/>
                    <w:color w:val="auto"/>
                    <w:sz w:val="32"/>
                    <w:szCs w:val="32"/>
                  </w:rPr>
                </m:ctrlPr>
              </m:sub>
              <m:sup>
                <m:ctrlPr>
                  <w:rPr>
                    <w:rFonts w:ascii="Cambria Math" w:hAnsi="Cambria Math" w:eastAsia="仿宋_GB2312"/>
                    <w:color w:val="auto"/>
                    <w:sz w:val="32"/>
                    <w:szCs w:val="32"/>
                  </w:rPr>
                </m:ctrlPr>
              </m:sup>
              <m:e>
                <m:sSub>
                  <m:sSubPr>
                    <m:ctrlPr>
                      <w:rPr>
                        <w:rFonts w:ascii="Cambria Math" w:hAnsi="Cambria Math" w:eastAsia="仿宋_GB2312"/>
                        <w:color w:val="auto"/>
                        <w:sz w:val="32"/>
                        <w:szCs w:val="32"/>
                      </w:rPr>
                    </m:ctrlPr>
                  </m:sSubPr>
                  <m:e>
                    <m:r>
                      <m:rPr>
                        <m:sty m:val="p"/>
                      </m:rPr>
                      <w:rPr>
                        <w:rFonts w:ascii="Cambria Math" w:hAnsi="Cambria Math" w:eastAsia="仿宋_GB2312"/>
                        <w:color w:val="auto"/>
                        <w:sz w:val="32"/>
                        <w:szCs w:val="32"/>
                      </w:rPr>
                      <m:t>A</m:t>
                    </m:r>
                    <m:ctrlPr>
                      <w:rPr>
                        <w:rFonts w:ascii="Cambria Math" w:hAnsi="Cambria Math" w:eastAsia="仿宋_GB2312"/>
                        <w:color w:val="auto"/>
                        <w:sz w:val="32"/>
                        <w:szCs w:val="32"/>
                      </w:rPr>
                    </m:ctrlPr>
                  </m:e>
                  <m:sub>
                    <m:r>
                      <m:rPr>
                        <m:sty m:val="p"/>
                      </m:rPr>
                      <w:rPr>
                        <w:rFonts w:ascii="Cambria Math" w:hAnsi="Cambria Math" w:eastAsia="仿宋_GB2312"/>
                        <w:color w:val="auto"/>
                        <w:sz w:val="32"/>
                        <w:szCs w:val="32"/>
                      </w:rPr>
                      <m:t>X</m:t>
                    </m:r>
                    <m:ctrlPr>
                      <w:rPr>
                        <w:rFonts w:ascii="Cambria Math" w:hAnsi="Cambria Math" w:eastAsia="仿宋_GB2312"/>
                        <w:color w:val="auto"/>
                        <w:sz w:val="32"/>
                        <w:szCs w:val="32"/>
                      </w:rPr>
                    </m:ctrlPr>
                  </m:sub>
                </m:sSub>
                <m:sSub>
                  <m:sSubPr>
                    <m:ctrlPr>
                      <w:rPr>
                        <w:rFonts w:ascii="Cambria Math" w:hAnsi="Cambria Math" w:eastAsia="仿宋_GB2312"/>
                        <w:color w:val="auto"/>
                        <w:sz w:val="32"/>
                        <w:szCs w:val="32"/>
                      </w:rPr>
                    </m:ctrlPr>
                  </m:sSubPr>
                  <m:e>
                    <m:r>
                      <m:rPr>
                        <m:sty m:val="p"/>
                      </m:rPr>
                      <w:rPr>
                        <w:rFonts w:ascii="Cambria Math" w:hAnsi="Cambria Math" w:eastAsia="仿宋_GB2312"/>
                        <w:color w:val="auto"/>
                        <w:sz w:val="32"/>
                        <w:szCs w:val="32"/>
                      </w:rPr>
                      <m:t>B</m:t>
                    </m:r>
                    <m:ctrlPr>
                      <w:rPr>
                        <w:rFonts w:ascii="Cambria Math" w:hAnsi="Cambria Math" w:eastAsia="仿宋_GB2312"/>
                        <w:color w:val="auto"/>
                        <w:sz w:val="32"/>
                        <w:szCs w:val="32"/>
                      </w:rPr>
                    </m:ctrlPr>
                  </m:e>
                  <m:sub>
                    <m:r>
                      <m:rPr>
                        <m:sty m:val="p"/>
                      </m:rPr>
                      <w:rPr>
                        <w:rFonts w:ascii="Cambria Math" w:hAnsi="Cambria Math" w:eastAsia="仿宋_GB2312"/>
                        <w:color w:val="auto"/>
                        <w:sz w:val="32"/>
                        <w:szCs w:val="32"/>
                      </w:rPr>
                      <m:t>x</m:t>
                    </m:r>
                    <m:ctrlPr>
                      <w:rPr>
                        <w:rFonts w:ascii="Cambria Math" w:hAnsi="Cambria Math" w:eastAsia="仿宋_GB2312"/>
                        <w:color w:val="auto"/>
                        <w:sz w:val="32"/>
                        <w:szCs w:val="32"/>
                      </w:rPr>
                    </m:ctrlPr>
                  </m:sub>
                </m:sSub>
                <m:ctrlPr>
                  <w:rPr>
                    <w:rFonts w:ascii="Cambria Math" w:hAnsi="Cambria Math" w:eastAsia="仿宋_GB2312"/>
                    <w:color w:val="auto"/>
                    <w:sz w:val="32"/>
                    <w:szCs w:val="32"/>
                  </w:rPr>
                </m:ctrlPr>
              </m:e>
            </m:nary>
            <m:ctrlPr>
              <w:rPr>
                <w:rFonts w:ascii="Cambria Math" w:hAnsi="Cambria Math" w:eastAsia="仿宋_GB2312"/>
                <w:color w:val="auto"/>
                <w:sz w:val="32"/>
                <w:szCs w:val="32"/>
              </w:rPr>
            </m:ctrlPr>
          </m:num>
          <m:den>
            <m:r>
              <m:rPr>
                <m:sty m:val="p"/>
              </m:rPr>
              <w:rPr>
                <w:rFonts w:ascii="Cambria Math" w:hAnsi="Cambria Math" w:eastAsia="仿宋_GB2312"/>
                <w:color w:val="auto"/>
                <w:sz w:val="32"/>
                <w:szCs w:val="32"/>
              </w:rPr>
              <m:t>N</m:t>
            </m:r>
            <m:ctrlPr>
              <w:rPr>
                <w:rFonts w:ascii="Cambria Math" w:hAnsi="Cambria Math" w:eastAsia="仿宋_GB2312"/>
                <w:color w:val="auto"/>
                <w:sz w:val="32"/>
                <w:szCs w:val="32"/>
              </w:rPr>
            </m:ctrlPr>
          </m:den>
        </m:f>
      </m:oMath>
    </w:p>
    <w:p>
      <w:pPr>
        <w:ind w:firstLine="960"/>
        <w:rPr>
          <w:rFonts w:eastAsia="仿宋_GB2312"/>
          <w:color w:val="auto"/>
          <w:sz w:val="32"/>
          <w:szCs w:val="32"/>
        </w:rPr>
      </w:pPr>
      <m:oMath>
        <m:acc>
          <m:accPr>
            <m:chr m:val="̅"/>
            <m:ctrlPr>
              <w:rPr>
                <w:rFonts w:ascii="Cambria Math" w:hAnsi="Cambria Math" w:eastAsia="仿宋_GB2312"/>
                <w:color w:val="auto"/>
                <w:sz w:val="32"/>
                <w:szCs w:val="32"/>
              </w:rPr>
            </m:ctrlPr>
          </m:accPr>
          <m:e>
            <m:r>
              <m:rPr>
                <m:sty m:val="p"/>
              </m:rPr>
              <w:rPr>
                <w:rFonts w:ascii="Cambria Math" w:hAnsi="Cambria Math" w:eastAsia="仿宋_GB2312"/>
                <w:color w:val="auto"/>
                <w:sz w:val="32"/>
                <w:szCs w:val="32"/>
              </w:rPr>
              <m:t>P</m:t>
            </m:r>
            <m:ctrlPr>
              <w:rPr>
                <w:rFonts w:ascii="Cambria Math" w:hAnsi="Cambria Math" w:eastAsia="仿宋_GB2312"/>
                <w:color w:val="auto"/>
                <w:sz w:val="32"/>
                <w:szCs w:val="32"/>
              </w:rPr>
            </m:ctrlPr>
          </m:e>
        </m:acc>
      </m:oMath>
      <w:r>
        <w:rPr>
          <w:rFonts w:eastAsia="仿宋_GB2312"/>
          <w:color w:val="auto"/>
          <w:sz w:val="32"/>
          <w:szCs w:val="32"/>
        </w:rPr>
        <w:t>：地市所有医疗机构某新增医疗服务项目平均价格</w:t>
      </w:r>
    </w:p>
    <w:p>
      <w:pPr>
        <w:ind w:firstLine="960"/>
        <w:rPr>
          <w:rFonts w:eastAsia="仿宋_GB2312"/>
          <w:color w:val="auto"/>
          <w:sz w:val="32"/>
        </w:rPr>
      </w:pPr>
      <w:r>
        <w:rPr>
          <w:rFonts w:eastAsia="仿宋_GB2312"/>
          <w:color w:val="auto"/>
          <w:sz w:val="32"/>
        </w:rPr>
        <w:t>A：某医疗机构该项目定价</w:t>
      </w:r>
    </w:p>
    <w:p>
      <w:pPr>
        <w:ind w:firstLine="960"/>
        <w:rPr>
          <w:rFonts w:eastAsia="仿宋_GB2312"/>
          <w:color w:val="auto"/>
          <w:sz w:val="32"/>
        </w:rPr>
      </w:pPr>
      <w:r>
        <w:rPr>
          <w:rFonts w:eastAsia="仿宋_GB2312"/>
          <w:color w:val="auto"/>
          <w:sz w:val="32"/>
        </w:rPr>
        <w:t>B：某医疗机构一年开展该项目例数</w:t>
      </w:r>
    </w:p>
    <w:p>
      <w:pPr>
        <w:ind w:firstLine="960"/>
        <w:rPr>
          <w:rFonts w:eastAsia="仿宋_GB2312"/>
          <w:color w:val="auto"/>
          <w:sz w:val="32"/>
        </w:rPr>
      </w:pPr>
      <w:r>
        <w:rPr>
          <w:rFonts w:eastAsia="仿宋_GB2312"/>
          <w:color w:val="auto"/>
          <w:sz w:val="32"/>
        </w:rPr>
        <w:t>N：某市各医疗机构开展该项目例数总和</w:t>
      </w:r>
    </w:p>
    <w:p>
      <w:pPr>
        <w:ind w:firstLine="960"/>
        <w:rPr>
          <w:rFonts w:eastAsia="仿宋_GB2312"/>
          <w:color w:val="auto"/>
          <w:sz w:val="32"/>
        </w:rPr>
        <w:sectPr>
          <w:pgSz w:w="16838" w:h="11906" w:orient="landscape"/>
          <w:pgMar w:top="1800" w:right="1440" w:bottom="1800" w:left="1440" w:header="720" w:footer="720" w:gutter="0"/>
          <w:pgNumType w:fmt="numberInDash"/>
          <w:cols w:space="720" w:num="1"/>
          <w:docGrid w:type="lines" w:linePitch="312" w:charSpace="0"/>
        </w:sectPr>
      </w:pPr>
      <w:r>
        <w:rPr>
          <w:rFonts w:eastAsia="仿宋_GB2312"/>
          <w:color w:val="auto"/>
          <w:sz w:val="32"/>
        </w:rPr>
        <w:t>X：某市医疗机构数（1,2,3…x,如医疗机构总数为5，x=5）</w:t>
      </w: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ind w:firstLine="840" w:firstLineChars="300"/>
        <w:rPr>
          <w:rFonts w:ascii="仿宋_GB2312" w:hAnsi="仿宋_GB2312" w:eastAsia="仿宋_GB2312" w:cs="仿宋_GB2312"/>
          <w:color w:val="auto"/>
          <w:sz w:val="28"/>
          <w:szCs w:val="28"/>
        </w:rPr>
      </w:pPr>
    </w:p>
    <w:sectPr>
      <w:footerReference r:id="rId4" w:type="default"/>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BC44"/>
    <w:multiLevelType w:val="singleLevel"/>
    <w:tmpl w:val="4AB0BC4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361BC"/>
    <w:rsid w:val="0004036F"/>
    <w:rsid w:val="00065096"/>
    <w:rsid w:val="00071136"/>
    <w:rsid w:val="00072CB6"/>
    <w:rsid w:val="000C504E"/>
    <w:rsid w:val="00106FA6"/>
    <w:rsid w:val="001D15A6"/>
    <w:rsid w:val="002070E0"/>
    <w:rsid w:val="00286F88"/>
    <w:rsid w:val="0029076A"/>
    <w:rsid w:val="002A06BF"/>
    <w:rsid w:val="002B2924"/>
    <w:rsid w:val="002D4D59"/>
    <w:rsid w:val="002D62A7"/>
    <w:rsid w:val="00331233"/>
    <w:rsid w:val="0039524C"/>
    <w:rsid w:val="00475D1C"/>
    <w:rsid w:val="00482F3D"/>
    <w:rsid w:val="004E3E93"/>
    <w:rsid w:val="00510E63"/>
    <w:rsid w:val="00583E96"/>
    <w:rsid w:val="005C355F"/>
    <w:rsid w:val="005D051F"/>
    <w:rsid w:val="005D66B4"/>
    <w:rsid w:val="006C250E"/>
    <w:rsid w:val="006C2FD4"/>
    <w:rsid w:val="00707E17"/>
    <w:rsid w:val="00736974"/>
    <w:rsid w:val="00736D48"/>
    <w:rsid w:val="00761D60"/>
    <w:rsid w:val="00761FE5"/>
    <w:rsid w:val="007C30E3"/>
    <w:rsid w:val="00805AEC"/>
    <w:rsid w:val="00810DE6"/>
    <w:rsid w:val="008132DD"/>
    <w:rsid w:val="00816C7A"/>
    <w:rsid w:val="00827A94"/>
    <w:rsid w:val="008B4E77"/>
    <w:rsid w:val="008F444F"/>
    <w:rsid w:val="009150C0"/>
    <w:rsid w:val="009405A0"/>
    <w:rsid w:val="00983983"/>
    <w:rsid w:val="009852B0"/>
    <w:rsid w:val="009A5CA8"/>
    <w:rsid w:val="00A17E81"/>
    <w:rsid w:val="00A25AD0"/>
    <w:rsid w:val="00A62C70"/>
    <w:rsid w:val="00A703EA"/>
    <w:rsid w:val="00AA69FA"/>
    <w:rsid w:val="00AC7DE9"/>
    <w:rsid w:val="00AF5820"/>
    <w:rsid w:val="00BA6CD8"/>
    <w:rsid w:val="00BD092E"/>
    <w:rsid w:val="00BE41D9"/>
    <w:rsid w:val="00C54156"/>
    <w:rsid w:val="00C60ECB"/>
    <w:rsid w:val="00CA3F3F"/>
    <w:rsid w:val="00D03F1C"/>
    <w:rsid w:val="00D1407F"/>
    <w:rsid w:val="00D152CF"/>
    <w:rsid w:val="00D15988"/>
    <w:rsid w:val="00DB3343"/>
    <w:rsid w:val="00DE645B"/>
    <w:rsid w:val="00E7728F"/>
    <w:rsid w:val="00ED1983"/>
    <w:rsid w:val="00F6513F"/>
    <w:rsid w:val="00FE70D0"/>
    <w:rsid w:val="00FF251D"/>
    <w:rsid w:val="01B5526C"/>
    <w:rsid w:val="02001F0C"/>
    <w:rsid w:val="0300348A"/>
    <w:rsid w:val="03247ADE"/>
    <w:rsid w:val="06305557"/>
    <w:rsid w:val="06677D58"/>
    <w:rsid w:val="077D2AF4"/>
    <w:rsid w:val="085612A7"/>
    <w:rsid w:val="08C361BC"/>
    <w:rsid w:val="09234612"/>
    <w:rsid w:val="0CC02C91"/>
    <w:rsid w:val="0D812362"/>
    <w:rsid w:val="0DA60D51"/>
    <w:rsid w:val="0DFA36CC"/>
    <w:rsid w:val="0EBB29FF"/>
    <w:rsid w:val="10974472"/>
    <w:rsid w:val="10BD2B8C"/>
    <w:rsid w:val="10E72BA6"/>
    <w:rsid w:val="11E40A59"/>
    <w:rsid w:val="12494871"/>
    <w:rsid w:val="13B2035B"/>
    <w:rsid w:val="14993E09"/>
    <w:rsid w:val="15431DC7"/>
    <w:rsid w:val="15872E73"/>
    <w:rsid w:val="16396931"/>
    <w:rsid w:val="17862E70"/>
    <w:rsid w:val="17A7366A"/>
    <w:rsid w:val="18387BAD"/>
    <w:rsid w:val="191C69FC"/>
    <w:rsid w:val="194C57A1"/>
    <w:rsid w:val="19826289"/>
    <w:rsid w:val="1A4C1A9A"/>
    <w:rsid w:val="1AAD2AC4"/>
    <w:rsid w:val="1AD30CEB"/>
    <w:rsid w:val="1B593C64"/>
    <w:rsid w:val="1C6E055A"/>
    <w:rsid w:val="1DA40322"/>
    <w:rsid w:val="1E3A517E"/>
    <w:rsid w:val="1E8D0C85"/>
    <w:rsid w:val="1EA2057E"/>
    <w:rsid w:val="1EB85988"/>
    <w:rsid w:val="1F8B5F1B"/>
    <w:rsid w:val="202F158F"/>
    <w:rsid w:val="20FA6EC6"/>
    <w:rsid w:val="21834535"/>
    <w:rsid w:val="238809EA"/>
    <w:rsid w:val="23912A51"/>
    <w:rsid w:val="25067529"/>
    <w:rsid w:val="259F7949"/>
    <w:rsid w:val="25C83CF0"/>
    <w:rsid w:val="261216CB"/>
    <w:rsid w:val="27481F88"/>
    <w:rsid w:val="278B1F81"/>
    <w:rsid w:val="284D4910"/>
    <w:rsid w:val="2A211576"/>
    <w:rsid w:val="2B172E0B"/>
    <w:rsid w:val="2B582736"/>
    <w:rsid w:val="2C3254F9"/>
    <w:rsid w:val="2C575FBD"/>
    <w:rsid w:val="2D6655DE"/>
    <w:rsid w:val="2F4947BC"/>
    <w:rsid w:val="30E67745"/>
    <w:rsid w:val="319B7930"/>
    <w:rsid w:val="32A07F8D"/>
    <w:rsid w:val="34897E68"/>
    <w:rsid w:val="354737B7"/>
    <w:rsid w:val="35924452"/>
    <w:rsid w:val="36863EA9"/>
    <w:rsid w:val="36BE1476"/>
    <w:rsid w:val="36CC0D14"/>
    <w:rsid w:val="37F34A1C"/>
    <w:rsid w:val="37FE056F"/>
    <w:rsid w:val="39A94A9C"/>
    <w:rsid w:val="39B42AAA"/>
    <w:rsid w:val="3A0F5E35"/>
    <w:rsid w:val="3A4C3185"/>
    <w:rsid w:val="3BAE7B4F"/>
    <w:rsid w:val="3BB35737"/>
    <w:rsid w:val="3C087581"/>
    <w:rsid w:val="3C6F6CEA"/>
    <w:rsid w:val="3DDE6EF4"/>
    <w:rsid w:val="3DEC4A35"/>
    <w:rsid w:val="3F100B1B"/>
    <w:rsid w:val="3F21435E"/>
    <w:rsid w:val="3F5A14C1"/>
    <w:rsid w:val="3FB35160"/>
    <w:rsid w:val="41724E8E"/>
    <w:rsid w:val="42670BEC"/>
    <w:rsid w:val="428D365F"/>
    <w:rsid w:val="42D56963"/>
    <w:rsid w:val="43D4192B"/>
    <w:rsid w:val="44F83C9B"/>
    <w:rsid w:val="45F10F3F"/>
    <w:rsid w:val="46F13E05"/>
    <w:rsid w:val="47880D06"/>
    <w:rsid w:val="47AF42C9"/>
    <w:rsid w:val="4A2452B6"/>
    <w:rsid w:val="4AAA174B"/>
    <w:rsid w:val="4B062CCB"/>
    <w:rsid w:val="4B3604B4"/>
    <w:rsid w:val="4B5F4D38"/>
    <w:rsid w:val="4BA82487"/>
    <w:rsid w:val="4C1074CC"/>
    <w:rsid w:val="4CA22F3A"/>
    <w:rsid w:val="4EA322D0"/>
    <w:rsid w:val="4F242F46"/>
    <w:rsid w:val="4F4A5859"/>
    <w:rsid w:val="517B6C4D"/>
    <w:rsid w:val="51F22B24"/>
    <w:rsid w:val="51F856D5"/>
    <w:rsid w:val="52116874"/>
    <w:rsid w:val="53134616"/>
    <w:rsid w:val="53893E11"/>
    <w:rsid w:val="544930D8"/>
    <w:rsid w:val="551019A3"/>
    <w:rsid w:val="55DC3498"/>
    <w:rsid w:val="57515D1F"/>
    <w:rsid w:val="57B340A8"/>
    <w:rsid w:val="57DE36F2"/>
    <w:rsid w:val="582F41CB"/>
    <w:rsid w:val="58740C6A"/>
    <w:rsid w:val="58D14AAC"/>
    <w:rsid w:val="58D8159F"/>
    <w:rsid w:val="591F24F2"/>
    <w:rsid w:val="593E35EC"/>
    <w:rsid w:val="59EF7E3B"/>
    <w:rsid w:val="5A2F6F33"/>
    <w:rsid w:val="5BB16668"/>
    <w:rsid w:val="5BED183A"/>
    <w:rsid w:val="5C810BD8"/>
    <w:rsid w:val="5D2868FA"/>
    <w:rsid w:val="5D4B0E94"/>
    <w:rsid w:val="5D9A041B"/>
    <w:rsid w:val="5F434C80"/>
    <w:rsid w:val="5FAA44B5"/>
    <w:rsid w:val="6049467E"/>
    <w:rsid w:val="60BB690A"/>
    <w:rsid w:val="62955BD0"/>
    <w:rsid w:val="635A4C5A"/>
    <w:rsid w:val="643B7E75"/>
    <w:rsid w:val="64C61946"/>
    <w:rsid w:val="655D47A5"/>
    <w:rsid w:val="65743231"/>
    <w:rsid w:val="66301858"/>
    <w:rsid w:val="665F4DBE"/>
    <w:rsid w:val="6687575C"/>
    <w:rsid w:val="67B8572C"/>
    <w:rsid w:val="67F40DA3"/>
    <w:rsid w:val="68343E8D"/>
    <w:rsid w:val="68D22EA2"/>
    <w:rsid w:val="69822314"/>
    <w:rsid w:val="69C045B3"/>
    <w:rsid w:val="6A035E26"/>
    <w:rsid w:val="6A6C6A76"/>
    <w:rsid w:val="6ADB1633"/>
    <w:rsid w:val="6B683AC3"/>
    <w:rsid w:val="6CE41319"/>
    <w:rsid w:val="6EA81522"/>
    <w:rsid w:val="6ED72FA5"/>
    <w:rsid w:val="6F063E1D"/>
    <w:rsid w:val="6F8D325E"/>
    <w:rsid w:val="6FAC007E"/>
    <w:rsid w:val="701C05FB"/>
    <w:rsid w:val="70792E51"/>
    <w:rsid w:val="70BA499D"/>
    <w:rsid w:val="712A0502"/>
    <w:rsid w:val="719B49BF"/>
    <w:rsid w:val="736B0FA6"/>
    <w:rsid w:val="739936F3"/>
    <w:rsid w:val="73FC57DD"/>
    <w:rsid w:val="75386AE7"/>
    <w:rsid w:val="759959DA"/>
    <w:rsid w:val="774461E1"/>
    <w:rsid w:val="778B2309"/>
    <w:rsid w:val="77914B9D"/>
    <w:rsid w:val="779A0085"/>
    <w:rsid w:val="77CB6575"/>
    <w:rsid w:val="78A85DD8"/>
    <w:rsid w:val="78E44498"/>
    <w:rsid w:val="7AD236F2"/>
    <w:rsid w:val="7B2F469E"/>
    <w:rsid w:val="7C3A6EB8"/>
    <w:rsid w:val="7C6123E6"/>
    <w:rsid w:val="7C657E26"/>
    <w:rsid w:val="7C70398D"/>
    <w:rsid w:val="7D75485C"/>
    <w:rsid w:val="7DF60747"/>
    <w:rsid w:val="7E9D3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unhideWhenUsed/>
    <w:qFormat/>
    <w:uiPriority w:val="99"/>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2">
    <w:name w:val="批注框文本 字符"/>
    <w:basedOn w:val="8"/>
    <w:link w:val="4"/>
    <w:qFormat/>
    <w:uiPriority w:val="0"/>
    <w:rPr>
      <w:sz w:val="18"/>
      <w:szCs w:val="18"/>
    </w:rPr>
  </w:style>
  <w:style w:type="character" w:customStyle="1" w:styleId="13">
    <w:name w:val="批注文字 字符"/>
    <w:basedOn w:val="8"/>
    <w:link w:val="3"/>
    <w:qFormat/>
    <w:uiPriority w:val="99"/>
    <w:rPr>
      <w:sz w:val="21"/>
      <w:szCs w:val="22"/>
    </w:rPr>
  </w:style>
  <w:style w:type="character" w:customStyle="1" w:styleId="14">
    <w:name w:val="批注主题 字符"/>
    <w:basedOn w:val="13"/>
    <w:link w:val="2"/>
    <w:uiPriority w:val="0"/>
    <w:rPr>
      <w:b/>
      <w:bCs/>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1121</Words>
  <Characters>6391</Characters>
  <Lines>53</Lines>
  <Paragraphs>14</Paragraphs>
  <TotalTime>12</TotalTime>
  <ScaleCrop>false</ScaleCrop>
  <LinksUpToDate>false</LinksUpToDate>
  <CharactersWithSpaces>7498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2019-07-25T06:13:00Z</dcterms:created>
  <dc:creator>姚丽平</dc:creator>
  <cp:lastModifiedBy>徐丹</cp:lastModifiedBy>
  <cp:lastPrinted>2019-09-19T06:49:00Z</cp:lastPrinted>
  <dcterms:modified xsi:type="dcterms:W3CDTF">2020-08-18T05:30:41Z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docPrint">
    <vt:i4>1</vt:i4>
  </property>
  <property fmtid="{D5CDD505-2E9C-101B-9397-08002B2CF9AE}" pid="4" name="docSaveAs">
    <vt:i4>1</vt:i4>
  </property>
  <property fmtid="{D5CDD505-2E9C-101B-9397-08002B2CF9AE}" pid="5" name="btnFileSaveAsFlag">
    <vt:lpwstr>0</vt:lpwstr>
  </property>
  <property fmtid="{D5CDD505-2E9C-101B-9397-08002B2CF9AE}" pid="6" name="btnFileSaveFlag">
    <vt:lpwstr>1</vt:lpwstr>
  </property>
  <property fmtid="{D5CDD505-2E9C-101B-9397-08002B2CF9AE}" pid="7" name="code20">
    <vt:lpwstr>0734umtdfqajk90msdl56m</vt:lpwstr>
  </property>
  <property fmtid="{D5CDD505-2E9C-101B-9397-08002B2CF9AE}" pid="8" name="codetype">
    <vt:lpwstr>encrypt</vt:lpwstr>
  </property>
  <property fmtid="{D5CDD505-2E9C-101B-9397-08002B2CF9AE}" pid="9" name="cp_browser">
    <vt:lpwstr>chrome</vt:lpwstr>
  </property>
  <property fmtid="{D5CDD505-2E9C-101B-9397-08002B2CF9AE}" pid="10" name="cp_itemId">
    <vt:lpwstr>244263</vt:lpwstr>
  </property>
  <property fmtid="{D5CDD505-2E9C-101B-9397-08002B2CF9AE}" pid="11" name="cp_itemType">
    <vt:lpwstr>missive</vt:lpwstr>
  </property>
  <property fmtid="{D5CDD505-2E9C-101B-9397-08002B2CF9AE}" pid="12" name="cp_title">
    <vt:lpwstr>广东省医疗保障局关于修订新增医疗服务价格项目管理办法征求意见的公示</vt:lpwstr>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vt:lpwstr>
  </property>
  <property fmtid="{D5CDD505-2E9C-101B-9397-08002B2CF9AE}" pid="18" name="uploadPath">
    <vt:lpwstr>https://xtbgsafe.gdzwfw.gov.cn/szoa/instance-web/minstone/wfDocBody/saveFileBody?flowInid=244263&amp;stepInco=4328490&amp;dealIndx=0&amp;flowId=150&amp;stepCode=1&amp;readOnly=0&amp;curUserCode=15915918068&amp;sysCode=MD_YBJ_OA&amp;r=0.9470104105441217&amp;tenantCode=GDSXXZX&amp;fileCode=o_1eg00gv044rbklrmj7vf9eovc&amp;id=o_1eg00gv044rbklrmj7vf9eovc&amp;attachUuid=a602966cca084dd5a3c3fd1b0bdff1c8&amp;r=0.29204320224287006&amp;userUuid=247d4b852cd54bde88df540c504b06b4</vt:lpwstr>
  </property>
  <property fmtid="{D5CDD505-2E9C-101B-9397-08002B2CF9AE}" pid="19" name="urlParams">
    <vt:lpwstr>flowInid=244263&amp;stepInco=4328490&amp;dealIndx=0&amp;flowId=150&amp;stepCode=1&amp;readOnly=0&amp;curUserCode=15915918068&amp;sysCode=MD_YBJ_OA&amp;r=0.9470104105441217&amp;tenantCode=GDSXXZX&amp;fileCode=o_1eg00gv044rbklrmj7vf9eovc&amp;id=o_1eg00gv044rbklrmj7vf9eovc&amp;attachUuid=a602966cca084dd5a3c3fd1b0bdff1c8&amp;r=0.29204320224287006&amp;userUuid=247d4b852cd54bde88df540c504b06b4</vt:lpwstr>
  </property>
  <property fmtid="{D5CDD505-2E9C-101B-9397-08002B2CF9AE}" pid="20" name="lockDocUrl">
    <vt:lpwstr>https://xtbgsafe.gdzwfw.gov.cn/szoa/instance-web/minstone/wfDocBody/getLockInfo?flowInid=244263&amp;stepInco=4328490&amp;dealIndx=0&amp;flowId=150&amp;stepCode=1&amp;readOnly=0&amp;curUserCode=15915918068&amp;sysCode=MD_YBJ_OA&amp;r=0.9470104105441217&amp;tenantCode=GDSXXZX&amp;fileCode=o_1eg00gv044rbklrmj7vf9eovc&amp;id=o_1eg00gv044rbklrmj7vf9eovc&amp;attachUuid=a602966cca084dd5a3c3fd1b0bdff1c8&amp;r=0.29204320224287006&amp;userUuid=247d4b852cd54bde88df540c504b06b4</vt:lpwstr>
  </property>
  <property fmtid="{D5CDD505-2E9C-101B-9397-08002B2CF9AE}" pid="21" name="copyUrl">
    <vt:lpwstr>https://xtbgsafe.gdzwfw.gov.cn/szoa/instance-web/minstone/wfDocBody/copyDoc?flowInid=244263&amp;stepInco=4328490&amp;dealIndx=0&amp;flowId=150&amp;stepCode=1&amp;readOnly=0&amp;curUserCode=15915918068&amp;sysCode=MD_YBJ_OA&amp;r=0.9470104105441217&amp;tenantCode=GDSXXZX&amp;fileCode=o_1eg00gv044rbklrmj7vf9eovc&amp;id=o_1eg00gv044rbklrmj7vf9eovc&amp;attachUuid=a602966cca084dd5a3c3fd1b0bdff1c8&amp;r=0.29204320224287006&amp;userUuid=247d4b852cd54bde88df540c504b06b4</vt:lpwstr>
  </property>
  <property fmtid="{D5CDD505-2E9C-101B-9397-08002B2CF9AE}" pid="22" name="unLockDocurl">
    <vt:lpwstr>https://xtbgsafe.gdzwfw.gov.cn/szoa/instance-web/minstone/wfDocBody/unLockDoc?flowInid=244263&amp;stepInco=4328490&amp;dealIndx=0&amp;flowId=150&amp;stepCode=1&amp;readOnly=0&amp;curUserCode=15915918068&amp;sysCode=MD_YBJ_OA&amp;r=0.9470104105441217&amp;tenantCode=GDSXXZX&amp;fileCode=o_1eg00gv044rbklrmj7vf9eovc&amp;id=o_1eg00gv044rbklrmj7vf9eovc&amp;attachUuid=a602966cca084dd5a3c3fd1b0bdff1c8&amp;r=0.29204320224287006&amp;userUuid=247d4b852cd54bde88df540c504b06b4</vt:lpwstr>
  </property>
  <property fmtid="{D5CDD505-2E9C-101B-9397-08002B2CF9AE}" pid="23"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